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56" w:rsidRDefault="00C66956" w:rsidP="004229FE">
      <w:pPr>
        <w:spacing w:after="0"/>
        <w:jc w:val="center"/>
        <w:rPr>
          <w:rFonts w:ascii="Garamond" w:hAnsi="Garamond" w:cs="Times New Roman"/>
          <w:b/>
        </w:rPr>
      </w:pPr>
    </w:p>
    <w:tbl>
      <w:tblPr>
        <w:tblW w:w="10350" w:type="dxa"/>
        <w:tblInd w:w="-702" w:type="dxa"/>
        <w:tblLayout w:type="fixed"/>
        <w:tblLook w:val="04A0" w:firstRow="1" w:lastRow="0" w:firstColumn="1" w:lastColumn="0" w:noHBand="0" w:noVBand="1"/>
      </w:tblPr>
      <w:tblGrid>
        <w:gridCol w:w="1800"/>
        <w:gridCol w:w="8550"/>
      </w:tblGrid>
      <w:tr w:rsidR="00C66956" w:rsidTr="00DE4953">
        <w:trPr>
          <w:cantSplit/>
          <w:trHeight w:val="1080"/>
        </w:trPr>
        <w:tc>
          <w:tcPr>
            <w:tcW w:w="1800" w:type="dxa"/>
            <w:vMerge w:val="restart"/>
            <w:hideMark/>
          </w:tcPr>
          <w:p w:rsidR="00C66956" w:rsidRDefault="00C66956" w:rsidP="00DE4953">
            <w:pPr>
              <w:pStyle w:val="Header"/>
            </w:pPr>
            <w:r>
              <w:rPr>
                <w:noProof/>
              </w:rPr>
              <w:drawing>
                <wp:anchor distT="0" distB="0" distL="114300" distR="114300" simplePos="0" relativeHeight="251659264" behindDoc="1" locked="0" layoutInCell="1" allowOverlap="1" wp14:anchorId="022AAE16" wp14:editId="3A6534F2">
                  <wp:simplePos x="0" y="0"/>
                  <wp:positionH relativeFrom="column">
                    <wp:posOffset>-74295</wp:posOffset>
                  </wp:positionH>
                  <wp:positionV relativeFrom="paragraph">
                    <wp:posOffset>66040</wp:posOffset>
                  </wp:positionV>
                  <wp:extent cx="1170305" cy="1485900"/>
                  <wp:effectExtent l="0" t="0" r="0" b="0"/>
                  <wp:wrapNone/>
                  <wp:docPr id="1" name="Picture 1" descr="Old Saybrook Se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Saybrook Seal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305" cy="1485900"/>
                          </a:xfrm>
                          <a:prstGeom prst="rect">
                            <a:avLst/>
                          </a:prstGeom>
                          <a:noFill/>
                        </pic:spPr>
                      </pic:pic>
                    </a:graphicData>
                  </a:graphic>
                  <wp14:sizeRelH relativeFrom="page">
                    <wp14:pctWidth>0</wp14:pctWidth>
                  </wp14:sizeRelH>
                  <wp14:sizeRelV relativeFrom="page">
                    <wp14:pctHeight>0</wp14:pctHeight>
                  </wp14:sizeRelV>
                </wp:anchor>
              </w:drawing>
            </w:r>
          </w:p>
        </w:tc>
        <w:tc>
          <w:tcPr>
            <w:tcW w:w="8550" w:type="dxa"/>
            <w:tcBorders>
              <w:top w:val="nil"/>
              <w:left w:val="nil"/>
              <w:bottom w:val="single" w:sz="4" w:space="0" w:color="auto"/>
              <w:right w:val="nil"/>
            </w:tcBorders>
          </w:tcPr>
          <w:p w:rsidR="00C66956" w:rsidRDefault="00C66956" w:rsidP="00DE4953">
            <w:pPr>
              <w:pStyle w:val="CompanyName"/>
              <w:framePr w:h="2710" w:wrap="notBeside" w:vAnchor="margin" w:hAnchor="page" w:x="2062" w:y="905"/>
              <w:spacing w:after="0"/>
              <w:rPr>
                <w:rFonts w:ascii="Times New Roman" w:hAnsi="Times New Roman"/>
                <w:spacing w:val="0"/>
                <w:sz w:val="36"/>
              </w:rPr>
            </w:pPr>
          </w:p>
          <w:p w:rsidR="00C66956" w:rsidRDefault="00C66956" w:rsidP="00DE4953">
            <w:pPr>
              <w:pStyle w:val="CompanyName"/>
              <w:framePr w:h="2710" w:wrap="notBeside" w:vAnchor="margin" w:hAnchor="page" w:x="2062" w:y="905"/>
              <w:spacing w:after="0"/>
              <w:rPr>
                <w:rFonts w:ascii="Times New Roman" w:hAnsi="Times New Roman"/>
                <w:spacing w:val="0"/>
                <w:sz w:val="36"/>
              </w:rPr>
            </w:pPr>
            <w:r>
              <w:rPr>
                <w:rFonts w:ascii="Times New Roman" w:hAnsi="Times New Roman"/>
                <w:spacing w:val="0"/>
                <w:sz w:val="36"/>
              </w:rPr>
              <w:t>TOWN OF OLD SAYBROOK</w:t>
            </w:r>
          </w:p>
          <w:p w:rsidR="00C66956" w:rsidRDefault="00C66956" w:rsidP="00DE4953">
            <w:pPr>
              <w:spacing w:after="120"/>
              <w:jc w:val="center"/>
              <w:rPr>
                <w:sz w:val="28"/>
              </w:rPr>
            </w:pPr>
          </w:p>
        </w:tc>
      </w:tr>
      <w:tr w:rsidR="00C66956" w:rsidTr="00DE4953">
        <w:trPr>
          <w:cantSplit/>
        </w:trPr>
        <w:tc>
          <w:tcPr>
            <w:tcW w:w="1800" w:type="dxa"/>
            <w:vMerge/>
            <w:vAlign w:val="center"/>
            <w:hideMark/>
          </w:tcPr>
          <w:p w:rsidR="00C66956" w:rsidRDefault="00C66956" w:rsidP="00DE4953">
            <w:pPr>
              <w:spacing w:after="0" w:line="240" w:lineRule="auto"/>
            </w:pPr>
          </w:p>
        </w:tc>
        <w:tc>
          <w:tcPr>
            <w:tcW w:w="8550" w:type="dxa"/>
          </w:tcPr>
          <w:p w:rsidR="00C66956" w:rsidRDefault="00C66956" w:rsidP="00DE4953">
            <w:pPr>
              <w:pStyle w:val="CompanyName"/>
              <w:framePr w:w="0" w:h="0" w:wrap="auto" w:vAnchor="margin" w:hAnchor="text" w:xAlign="left" w:yAlign="inline"/>
              <w:spacing w:after="0" w:line="240" w:lineRule="auto"/>
              <w:rPr>
                <w:rFonts w:ascii="Times New Roman" w:hAnsi="Times New Roman"/>
                <w:caps w:val="0"/>
                <w:spacing w:val="0"/>
                <w:sz w:val="24"/>
              </w:rPr>
            </w:pPr>
            <w:r>
              <w:rPr>
                <w:rFonts w:ascii="Times New Roman" w:hAnsi="Times New Roman"/>
                <w:caps w:val="0"/>
                <w:spacing w:val="0"/>
                <w:sz w:val="24"/>
              </w:rPr>
              <w:t xml:space="preserve">302 Main Street </w:t>
            </w:r>
            <w:r>
              <w:rPr>
                <w:rFonts w:ascii="Times New Roman" w:hAnsi="Times New Roman"/>
                <w:caps w:val="0"/>
                <w:spacing w:val="0"/>
                <w:sz w:val="24"/>
              </w:rPr>
              <w:sym w:font="Symbol" w:char="F0B7"/>
            </w:r>
            <w:r>
              <w:rPr>
                <w:rFonts w:ascii="Times New Roman" w:hAnsi="Times New Roman"/>
                <w:caps w:val="0"/>
                <w:spacing w:val="0"/>
                <w:sz w:val="24"/>
              </w:rPr>
              <w:t xml:space="preserve"> Old Saybrook, Connecticut 06475</w:t>
            </w:r>
          </w:p>
          <w:p w:rsidR="00C66956" w:rsidRDefault="00C66956" w:rsidP="00DE4953">
            <w:pPr>
              <w:pStyle w:val="CompanyName"/>
              <w:framePr w:w="0" w:h="0" w:wrap="auto" w:vAnchor="margin" w:hAnchor="text" w:xAlign="left" w:yAlign="inline"/>
              <w:spacing w:after="0" w:line="240" w:lineRule="auto"/>
              <w:rPr>
                <w:rFonts w:ascii="Times New Roman" w:hAnsi="Times New Roman"/>
                <w:caps w:val="0"/>
                <w:spacing w:val="0"/>
                <w:sz w:val="24"/>
              </w:rPr>
            </w:pPr>
            <w:r>
              <w:rPr>
                <w:rFonts w:ascii="Times New Roman" w:hAnsi="Times New Roman"/>
                <w:caps w:val="0"/>
                <w:spacing w:val="0"/>
                <w:sz w:val="24"/>
              </w:rPr>
              <w:t xml:space="preserve">Telephone (860) 395-3123 </w:t>
            </w:r>
            <w:r>
              <w:rPr>
                <w:rFonts w:ascii="Times New Roman" w:hAnsi="Times New Roman"/>
                <w:caps w:val="0"/>
                <w:spacing w:val="0"/>
                <w:sz w:val="24"/>
              </w:rPr>
              <w:sym w:font="Symbol" w:char="F0B7"/>
            </w:r>
            <w:r>
              <w:rPr>
                <w:rFonts w:ascii="Times New Roman" w:hAnsi="Times New Roman"/>
                <w:caps w:val="0"/>
                <w:spacing w:val="0"/>
                <w:sz w:val="24"/>
              </w:rPr>
              <w:t xml:space="preserve"> FAX (860) 395-3125</w:t>
            </w:r>
          </w:p>
          <w:p w:rsidR="00C66956" w:rsidRDefault="00C66956" w:rsidP="00DE4953">
            <w:pPr>
              <w:jc w:val="center"/>
            </w:pPr>
          </w:p>
          <w:p w:rsidR="00C66956" w:rsidRDefault="00C66956" w:rsidP="00DE4953">
            <w:pPr>
              <w:pStyle w:val="Heading2"/>
            </w:pPr>
          </w:p>
        </w:tc>
      </w:tr>
    </w:tbl>
    <w:p w:rsidR="00C66956" w:rsidRDefault="00C66956" w:rsidP="004229FE">
      <w:pPr>
        <w:spacing w:after="0"/>
        <w:jc w:val="center"/>
        <w:rPr>
          <w:rFonts w:ascii="Garamond" w:hAnsi="Garamond" w:cs="Times New Roman"/>
          <w:b/>
        </w:rPr>
      </w:pPr>
    </w:p>
    <w:p w:rsidR="00C66956" w:rsidRDefault="00C66956" w:rsidP="004229FE">
      <w:pPr>
        <w:spacing w:after="0"/>
        <w:jc w:val="center"/>
        <w:rPr>
          <w:rFonts w:ascii="Garamond" w:hAnsi="Garamond" w:cs="Times New Roman"/>
          <w:b/>
        </w:rPr>
      </w:pPr>
    </w:p>
    <w:p w:rsidR="00C66956" w:rsidRDefault="00C66956" w:rsidP="004229FE">
      <w:pPr>
        <w:spacing w:after="0"/>
        <w:jc w:val="center"/>
        <w:rPr>
          <w:rFonts w:ascii="Garamond" w:hAnsi="Garamond" w:cs="Times New Roman"/>
          <w:b/>
        </w:rPr>
      </w:pPr>
    </w:p>
    <w:p w:rsidR="00C66956" w:rsidRDefault="00C66956" w:rsidP="004229FE">
      <w:pPr>
        <w:spacing w:after="0"/>
        <w:jc w:val="center"/>
        <w:rPr>
          <w:rFonts w:ascii="Garamond" w:hAnsi="Garamond" w:cs="Times New Roman"/>
          <w:b/>
        </w:rPr>
      </w:pPr>
    </w:p>
    <w:p w:rsidR="00C66956" w:rsidRDefault="00C66956" w:rsidP="004229FE">
      <w:pPr>
        <w:spacing w:after="0"/>
        <w:jc w:val="center"/>
        <w:rPr>
          <w:rFonts w:ascii="Garamond" w:hAnsi="Garamond" w:cs="Times New Roman"/>
          <w:b/>
        </w:rPr>
      </w:pPr>
    </w:p>
    <w:p w:rsidR="00C66956" w:rsidRDefault="00C66956" w:rsidP="004229FE">
      <w:pPr>
        <w:spacing w:after="0"/>
        <w:jc w:val="center"/>
        <w:rPr>
          <w:rFonts w:ascii="Garamond" w:hAnsi="Garamond" w:cs="Times New Roman"/>
          <w:b/>
        </w:rPr>
      </w:pPr>
    </w:p>
    <w:p w:rsidR="00C66956" w:rsidRPr="00CA3045" w:rsidRDefault="00C66956" w:rsidP="00CA3045">
      <w:pPr>
        <w:spacing w:after="0" w:line="240" w:lineRule="auto"/>
        <w:jc w:val="center"/>
        <w:rPr>
          <w:rFonts w:ascii="Garamond" w:hAnsi="Garamond" w:cs="Times New Roman"/>
          <w:b/>
          <w:sz w:val="32"/>
          <w:szCs w:val="32"/>
        </w:rPr>
      </w:pPr>
      <w:r w:rsidRPr="00CA3045">
        <w:rPr>
          <w:rFonts w:ascii="Garamond" w:hAnsi="Garamond" w:cs="Times New Roman"/>
          <w:b/>
          <w:sz w:val="32"/>
          <w:szCs w:val="32"/>
        </w:rPr>
        <w:t>The Defined Benefit Plans</w:t>
      </w:r>
    </w:p>
    <w:p w:rsidR="00C66956" w:rsidRPr="00CA3045" w:rsidRDefault="00C66956" w:rsidP="00CA3045">
      <w:pPr>
        <w:spacing w:after="0" w:line="240" w:lineRule="auto"/>
        <w:rPr>
          <w:rFonts w:ascii="Garamond" w:hAnsi="Garamond" w:cs="Times New Roman"/>
          <w:b/>
          <w:sz w:val="32"/>
          <w:szCs w:val="32"/>
        </w:rPr>
      </w:pPr>
    </w:p>
    <w:p w:rsidR="00C66956" w:rsidRDefault="00C66956" w:rsidP="00CA3045">
      <w:pPr>
        <w:spacing w:after="0" w:line="240" w:lineRule="auto"/>
        <w:jc w:val="center"/>
        <w:rPr>
          <w:rFonts w:ascii="Garamond" w:hAnsi="Garamond" w:cs="Times New Roman"/>
          <w:b/>
        </w:rPr>
      </w:pPr>
    </w:p>
    <w:p w:rsidR="001F4CB1" w:rsidRPr="00C66956" w:rsidRDefault="004229FE" w:rsidP="00CA3045">
      <w:pPr>
        <w:spacing w:after="0" w:line="240" w:lineRule="auto"/>
        <w:jc w:val="center"/>
        <w:rPr>
          <w:rFonts w:ascii="Garamond" w:hAnsi="Garamond" w:cs="Times New Roman"/>
          <w:b/>
          <w:sz w:val="52"/>
          <w:szCs w:val="52"/>
        </w:rPr>
      </w:pPr>
      <w:r w:rsidRPr="00C66956">
        <w:rPr>
          <w:rFonts w:ascii="Garamond" w:hAnsi="Garamond" w:cs="Times New Roman"/>
          <w:b/>
          <w:sz w:val="52"/>
          <w:szCs w:val="52"/>
        </w:rPr>
        <w:t>Investment Policy Statement</w:t>
      </w:r>
    </w:p>
    <w:p w:rsidR="004229FE" w:rsidRPr="00C66956" w:rsidRDefault="004229FE" w:rsidP="00CA3045">
      <w:pPr>
        <w:spacing w:after="0" w:line="240" w:lineRule="auto"/>
        <w:jc w:val="center"/>
        <w:rPr>
          <w:rFonts w:ascii="Garamond" w:hAnsi="Garamond" w:cs="Times New Roman"/>
          <w:b/>
          <w:sz w:val="36"/>
          <w:szCs w:val="36"/>
        </w:rPr>
      </w:pPr>
    </w:p>
    <w:p w:rsidR="004229FE" w:rsidRPr="00C66956" w:rsidRDefault="004229FE" w:rsidP="00CA3045">
      <w:pPr>
        <w:spacing w:after="0" w:line="240" w:lineRule="auto"/>
        <w:jc w:val="center"/>
        <w:rPr>
          <w:rFonts w:ascii="Garamond" w:hAnsi="Garamond" w:cs="Times New Roman"/>
          <w:b/>
          <w:sz w:val="36"/>
          <w:szCs w:val="36"/>
        </w:rPr>
      </w:pPr>
    </w:p>
    <w:p w:rsidR="004229FE" w:rsidRPr="00CA3045" w:rsidRDefault="004229FE" w:rsidP="00CA3045">
      <w:pPr>
        <w:spacing w:after="0" w:line="240" w:lineRule="auto"/>
        <w:jc w:val="center"/>
        <w:rPr>
          <w:rFonts w:ascii="Garamond" w:hAnsi="Garamond" w:cs="Times New Roman"/>
          <w:b/>
          <w:sz w:val="32"/>
          <w:szCs w:val="32"/>
        </w:rPr>
      </w:pPr>
      <w:r w:rsidRPr="00CA3045">
        <w:rPr>
          <w:rFonts w:ascii="Garamond" w:hAnsi="Garamond" w:cs="Times New Roman"/>
          <w:b/>
          <w:sz w:val="32"/>
          <w:szCs w:val="32"/>
        </w:rPr>
        <w:t>Town of Old Saybrook</w:t>
      </w:r>
      <w:r w:rsidR="00C66956" w:rsidRPr="00CA3045">
        <w:rPr>
          <w:rFonts w:ascii="Garamond" w:hAnsi="Garamond" w:cs="Times New Roman"/>
          <w:b/>
          <w:sz w:val="32"/>
          <w:szCs w:val="32"/>
        </w:rPr>
        <w:t xml:space="preserve"> Retirement Plan</w:t>
      </w:r>
    </w:p>
    <w:p w:rsidR="004229FE" w:rsidRPr="00CA3045" w:rsidRDefault="004229FE" w:rsidP="00CA3045">
      <w:pPr>
        <w:spacing w:after="0" w:line="240" w:lineRule="auto"/>
        <w:jc w:val="center"/>
        <w:rPr>
          <w:rFonts w:ascii="Garamond" w:hAnsi="Garamond" w:cs="Times New Roman"/>
          <w:i/>
          <w:sz w:val="32"/>
          <w:szCs w:val="32"/>
        </w:rPr>
      </w:pPr>
      <w:r w:rsidRPr="00CA3045">
        <w:rPr>
          <w:rFonts w:ascii="Garamond" w:hAnsi="Garamond" w:cs="Times New Roman"/>
          <w:i/>
          <w:sz w:val="32"/>
          <w:szCs w:val="32"/>
        </w:rPr>
        <w:t>and</w:t>
      </w:r>
    </w:p>
    <w:p w:rsidR="004229FE" w:rsidRPr="00CA3045" w:rsidRDefault="00C66956" w:rsidP="00CA3045">
      <w:pPr>
        <w:spacing w:after="0" w:line="240" w:lineRule="auto"/>
        <w:jc w:val="center"/>
        <w:rPr>
          <w:rFonts w:ascii="Garamond" w:hAnsi="Garamond" w:cs="Times New Roman"/>
          <w:b/>
          <w:sz w:val="32"/>
          <w:szCs w:val="32"/>
        </w:rPr>
      </w:pPr>
      <w:r w:rsidRPr="00CA3045">
        <w:rPr>
          <w:rFonts w:ascii="Garamond" w:hAnsi="Garamond" w:cs="Times New Roman"/>
          <w:b/>
          <w:sz w:val="32"/>
          <w:szCs w:val="32"/>
        </w:rPr>
        <w:t>Town of</w:t>
      </w:r>
      <w:r w:rsidR="004229FE" w:rsidRPr="00CA3045">
        <w:rPr>
          <w:rFonts w:ascii="Garamond" w:hAnsi="Garamond" w:cs="Times New Roman"/>
          <w:b/>
          <w:sz w:val="32"/>
          <w:szCs w:val="32"/>
        </w:rPr>
        <w:t xml:space="preserve"> Old Saybrook Fire</w:t>
      </w:r>
      <w:r w:rsidRPr="00CA3045">
        <w:rPr>
          <w:rFonts w:ascii="Garamond" w:hAnsi="Garamond" w:cs="Times New Roman"/>
          <w:b/>
          <w:sz w:val="32"/>
          <w:szCs w:val="32"/>
        </w:rPr>
        <w:t xml:space="preserve"> Company No. 1 Retirement Plan</w:t>
      </w:r>
    </w:p>
    <w:p w:rsidR="00884DB1" w:rsidRPr="00CA3045" w:rsidRDefault="00884DB1" w:rsidP="00CA3045">
      <w:pPr>
        <w:spacing w:after="0" w:line="240" w:lineRule="auto"/>
        <w:jc w:val="center"/>
        <w:rPr>
          <w:rFonts w:ascii="Garamond" w:hAnsi="Garamond" w:cs="Times New Roman"/>
          <w:b/>
          <w:sz w:val="32"/>
          <w:szCs w:val="32"/>
        </w:rPr>
      </w:pPr>
    </w:p>
    <w:p w:rsidR="00CA3045" w:rsidRDefault="00CA3045" w:rsidP="00CA3045">
      <w:pPr>
        <w:spacing w:after="0" w:line="240" w:lineRule="auto"/>
        <w:jc w:val="center"/>
        <w:rPr>
          <w:rFonts w:ascii="Garamond" w:hAnsi="Garamond" w:cs="Times New Roman"/>
          <w:b/>
          <w:sz w:val="24"/>
          <w:szCs w:val="24"/>
        </w:rPr>
      </w:pPr>
    </w:p>
    <w:p w:rsidR="00CA3045" w:rsidRDefault="00CA3045" w:rsidP="00CA3045">
      <w:pPr>
        <w:spacing w:after="0" w:line="240" w:lineRule="auto"/>
        <w:jc w:val="center"/>
        <w:rPr>
          <w:rFonts w:ascii="Garamond" w:hAnsi="Garamond" w:cs="Times New Roman"/>
          <w:b/>
          <w:sz w:val="24"/>
          <w:szCs w:val="24"/>
        </w:rPr>
      </w:pPr>
    </w:p>
    <w:p w:rsidR="00CA3045" w:rsidRDefault="00CA3045" w:rsidP="00CA3045">
      <w:pPr>
        <w:spacing w:after="0" w:line="240" w:lineRule="auto"/>
        <w:jc w:val="center"/>
        <w:rPr>
          <w:rFonts w:ascii="Garamond" w:hAnsi="Garamond" w:cs="Times New Roman"/>
          <w:b/>
          <w:sz w:val="24"/>
          <w:szCs w:val="24"/>
        </w:rPr>
      </w:pPr>
    </w:p>
    <w:p w:rsidR="00CA3045" w:rsidRDefault="00CA3045" w:rsidP="00CA3045">
      <w:pPr>
        <w:spacing w:after="0" w:line="240" w:lineRule="auto"/>
        <w:jc w:val="center"/>
        <w:rPr>
          <w:rFonts w:ascii="Garamond" w:hAnsi="Garamond" w:cs="Times New Roman"/>
          <w:b/>
          <w:sz w:val="24"/>
          <w:szCs w:val="24"/>
        </w:rPr>
      </w:pPr>
    </w:p>
    <w:p w:rsidR="00CA3045" w:rsidRDefault="00CA3045" w:rsidP="00CA3045">
      <w:pPr>
        <w:spacing w:after="0" w:line="240" w:lineRule="auto"/>
        <w:jc w:val="center"/>
        <w:rPr>
          <w:rFonts w:ascii="Garamond" w:hAnsi="Garamond" w:cs="Times New Roman"/>
          <w:b/>
          <w:sz w:val="24"/>
          <w:szCs w:val="24"/>
        </w:rPr>
      </w:pPr>
    </w:p>
    <w:p w:rsidR="00CA3045" w:rsidRDefault="00CA3045" w:rsidP="00CA3045">
      <w:pPr>
        <w:spacing w:after="0" w:line="240" w:lineRule="auto"/>
        <w:jc w:val="center"/>
        <w:rPr>
          <w:rFonts w:ascii="Garamond" w:hAnsi="Garamond" w:cs="Times New Roman"/>
          <w:b/>
          <w:sz w:val="24"/>
          <w:szCs w:val="24"/>
        </w:rPr>
      </w:pPr>
    </w:p>
    <w:p w:rsidR="00CA3045" w:rsidRDefault="00CA3045" w:rsidP="00CA3045">
      <w:pPr>
        <w:spacing w:after="0" w:line="240" w:lineRule="auto"/>
        <w:jc w:val="center"/>
        <w:rPr>
          <w:rFonts w:ascii="Garamond" w:hAnsi="Garamond" w:cs="Times New Roman"/>
          <w:b/>
          <w:sz w:val="24"/>
          <w:szCs w:val="24"/>
        </w:rPr>
      </w:pPr>
    </w:p>
    <w:p w:rsidR="00CA3045" w:rsidRDefault="00CA3045" w:rsidP="00CA3045">
      <w:pPr>
        <w:spacing w:after="0" w:line="240" w:lineRule="auto"/>
        <w:jc w:val="center"/>
        <w:rPr>
          <w:rFonts w:ascii="Garamond" w:hAnsi="Garamond" w:cs="Times New Roman"/>
          <w:b/>
          <w:sz w:val="24"/>
          <w:szCs w:val="24"/>
        </w:rPr>
      </w:pPr>
    </w:p>
    <w:p w:rsidR="00CA3045" w:rsidRDefault="00CA3045" w:rsidP="00CA3045">
      <w:pPr>
        <w:spacing w:after="0" w:line="240" w:lineRule="auto"/>
        <w:jc w:val="center"/>
        <w:rPr>
          <w:rFonts w:ascii="Garamond" w:hAnsi="Garamond" w:cs="Times New Roman"/>
          <w:b/>
          <w:sz w:val="24"/>
          <w:szCs w:val="24"/>
        </w:rPr>
      </w:pPr>
    </w:p>
    <w:p w:rsidR="00CA3045" w:rsidRDefault="00CA3045" w:rsidP="00CA3045">
      <w:pPr>
        <w:spacing w:after="0" w:line="240" w:lineRule="auto"/>
        <w:jc w:val="center"/>
        <w:rPr>
          <w:rFonts w:ascii="Garamond" w:hAnsi="Garamond" w:cs="Times New Roman"/>
          <w:b/>
          <w:sz w:val="24"/>
          <w:szCs w:val="24"/>
        </w:rPr>
      </w:pPr>
    </w:p>
    <w:p w:rsidR="00CA3045" w:rsidRDefault="00CA3045" w:rsidP="00CA3045">
      <w:pPr>
        <w:spacing w:after="0" w:line="240" w:lineRule="auto"/>
        <w:jc w:val="center"/>
        <w:rPr>
          <w:rFonts w:ascii="Garamond" w:hAnsi="Garamond" w:cs="Times New Roman"/>
          <w:b/>
          <w:sz w:val="24"/>
          <w:szCs w:val="24"/>
        </w:rPr>
      </w:pPr>
    </w:p>
    <w:p w:rsidR="00CA3045" w:rsidRDefault="00CA3045" w:rsidP="00CA3045">
      <w:pPr>
        <w:spacing w:after="0" w:line="240" w:lineRule="auto"/>
        <w:jc w:val="center"/>
        <w:rPr>
          <w:rFonts w:ascii="Garamond" w:hAnsi="Garamond" w:cs="Times New Roman"/>
          <w:b/>
          <w:sz w:val="24"/>
          <w:szCs w:val="24"/>
        </w:rPr>
      </w:pPr>
    </w:p>
    <w:p w:rsidR="00CA3045" w:rsidRDefault="00CA3045" w:rsidP="00CA3045">
      <w:pPr>
        <w:spacing w:after="0" w:line="240" w:lineRule="auto"/>
        <w:jc w:val="center"/>
        <w:rPr>
          <w:rFonts w:ascii="Garamond" w:hAnsi="Garamond" w:cs="Times New Roman"/>
          <w:b/>
          <w:sz w:val="24"/>
          <w:szCs w:val="24"/>
        </w:rPr>
      </w:pPr>
    </w:p>
    <w:p w:rsidR="00CA3045" w:rsidRDefault="00CA3045" w:rsidP="00CA3045">
      <w:pPr>
        <w:spacing w:after="0" w:line="240" w:lineRule="auto"/>
        <w:jc w:val="center"/>
        <w:rPr>
          <w:rFonts w:ascii="Garamond" w:hAnsi="Garamond" w:cs="Times New Roman"/>
          <w:b/>
          <w:sz w:val="24"/>
          <w:szCs w:val="24"/>
        </w:rPr>
      </w:pPr>
    </w:p>
    <w:p w:rsidR="00884DB1" w:rsidRPr="00CA3045" w:rsidRDefault="00884DB1" w:rsidP="00CA3045">
      <w:pPr>
        <w:spacing w:after="0" w:line="240" w:lineRule="auto"/>
        <w:jc w:val="center"/>
        <w:rPr>
          <w:rFonts w:ascii="Garamond" w:hAnsi="Garamond" w:cs="Times New Roman"/>
          <w:b/>
          <w:sz w:val="24"/>
          <w:szCs w:val="24"/>
        </w:rPr>
      </w:pPr>
      <w:r w:rsidRPr="00CA3045">
        <w:rPr>
          <w:rFonts w:ascii="Garamond" w:hAnsi="Garamond" w:cs="Times New Roman"/>
          <w:b/>
          <w:sz w:val="24"/>
          <w:szCs w:val="24"/>
        </w:rPr>
        <w:t>Updated and Approved on April 25, 2019</w:t>
      </w:r>
    </w:p>
    <w:p w:rsidR="004229FE" w:rsidRPr="00C66956" w:rsidRDefault="004229FE" w:rsidP="004229FE">
      <w:pPr>
        <w:spacing w:after="0"/>
        <w:jc w:val="center"/>
        <w:rPr>
          <w:rFonts w:ascii="Garamond" w:hAnsi="Garamond" w:cs="Times New Roman"/>
          <w:b/>
          <w:sz w:val="36"/>
          <w:szCs w:val="36"/>
        </w:rPr>
      </w:pPr>
    </w:p>
    <w:p w:rsidR="004229FE" w:rsidRPr="00C66956" w:rsidRDefault="004229FE" w:rsidP="004229FE">
      <w:pPr>
        <w:spacing w:after="0"/>
        <w:rPr>
          <w:rFonts w:ascii="Garamond" w:hAnsi="Garamond" w:cs="Times New Roman"/>
        </w:rPr>
      </w:pPr>
      <w:r w:rsidRPr="00C66956">
        <w:rPr>
          <w:rFonts w:ascii="Garamond" w:hAnsi="Garamond" w:cs="Times New Roman"/>
        </w:rPr>
        <w:br w:type="page"/>
      </w:r>
    </w:p>
    <w:sdt>
      <w:sdtPr>
        <w:rPr>
          <w:rFonts w:ascii="Garamond" w:eastAsiaTheme="minorHAnsi" w:hAnsi="Garamond" w:cstheme="minorBidi"/>
          <w:b w:val="0"/>
          <w:bCs w:val="0"/>
          <w:color w:val="auto"/>
          <w:sz w:val="22"/>
          <w:szCs w:val="22"/>
          <w:lang w:eastAsia="en-US"/>
        </w:rPr>
        <w:id w:val="-1611425581"/>
        <w:docPartObj>
          <w:docPartGallery w:val="Table of Contents"/>
          <w:docPartUnique/>
        </w:docPartObj>
      </w:sdtPr>
      <w:sdtEndPr>
        <w:rPr>
          <w:noProof/>
        </w:rPr>
      </w:sdtEndPr>
      <w:sdtContent>
        <w:p w:rsidR="006F78A9" w:rsidRPr="00C66956" w:rsidRDefault="006F78A9">
          <w:pPr>
            <w:pStyle w:val="TOCHeading"/>
            <w:rPr>
              <w:rFonts w:ascii="Garamond" w:hAnsi="Garamond"/>
            </w:rPr>
          </w:pPr>
          <w:r w:rsidRPr="00C66956">
            <w:rPr>
              <w:rFonts w:ascii="Garamond" w:hAnsi="Garamond"/>
            </w:rPr>
            <w:t>Table of Contents</w:t>
          </w:r>
        </w:p>
        <w:p w:rsidR="008A2F9F" w:rsidRDefault="006F78A9">
          <w:pPr>
            <w:pStyle w:val="TOC1"/>
            <w:tabs>
              <w:tab w:val="left" w:pos="440"/>
              <w:tab w:val="right" w:leader="dot" w:pos="9350"/>
            </w:tabs>
            <w:rPr>
              <w:rFonts w:eastAsiaTheme="minorEastAsia"/>
              <w:noProof/>
            </w:rPr>
          </w:pPr>
          <w:r w:rsidRPr="00C66956">
            <w:rPr>
              <w:rFonts w:ascii="Garamond" w:hAnsi="Garamond"/>
            </w:rPr>
            <w:fldChar w:fldCharType="begin"/>
          </w:r>
          <w:r w:rsidRPr="00C66956">
            <w:rPr>
              <w:rFonts w:ascii="Garamond" w:hAnsi="Garamond"/>
            </w:rPr>
            <w:instrText xml:space="preserve"> TOC \o "1-3" \h \z \u </w:instrText>
          </w:r>
          <w:r w:rsidRPr="00C66956">
            <w:rPr>
              <w:rFonts w:ascii="Garamond" w:hAnsi="Garamond"/>
            </w:rPr>
            <w:fldChar w:fldCharType="separate"/>
          </w:r>
          <w:hyperlink w:anchor="_Toc7689719" w:history="1">
            <w:r w:rsidR="008A2F9F" w:rsidRPr="005934C1">
              <w:rPr>
                <w:rStyle w:val="Hyperlink"/>
                <w:rFonts w:ascii="Garamond" w:hAnsi="Garamond"/>
                <w:noProof/>
              </w:rPr>
              <w:t>I.</w:t>
            </w:r>
            <w:r w:rsidR="008A2F9F">
              <w:rPr>
                <w:rFonts w:eastAsiaTheme="minorEastAsia"/>
                <w:noProof/>
              </w:rPr>
              <w:tab/>
            </w:r>
            <w:r w:rsidR="008A2F9F" w:rsidRPr="005934C1">
              <w:rPr>
                <w:rStyle w:val="Hyperlink"/>
                <w:rFonts w:ascii="Garamond" w:hAnsi="Garamond"/>
                <w:noProof/>
              </w:rPr>
              <w:t>Introduction</w:t>
            </w:r>
            <w:r w:rsidR="008A2F9F">
              <w:rPr>
                <w:noProof/>
                <w:webHidden/>
              </w:rPr>
              <w:tab/>
            </w:r>
            <w:r w:rsidR="008A2F9F">
              <w:rPr>
                <w:noProof/>
                <w:webHidden/>
              </w:rPr>
              <w:fldChar w:fldCharType="begin"/>
            </w:r>
            <w:r w:rsidR="008A2F9F">
              <w:rPr>
                <w:noProof/>
                <w:webHidden/>
              </w:rPr>
              <w:instrText xml:space="preserve"> PAGEREF _Toc7689719 \h </w:instrText>
            </w:r>
            <w:r w:rsidR="008A2F9F">
              <w:rPr>
                <w:noProof/>
                <w:webHidden/>
              </w:rPr>
            </w:r>
            <w:r w:rsidR="008A2F9F">
              <w:rPr>
                <w:noProof/>
                <w:webHidden/>
              </w:rPr>
              <w:fldChar w:fldCharType="separate"/>
            </w:r>
            <w:r w:rsidR="008F76E9">
              <w:rPr>
                <w:noProof/>
                <w:webHidden/>
              </w:rPr>
              <w:t>5</w:t>
            </w:r>
            <w:r w:rsidR="008A2F9F">
              <w:rPr>
                <w:noProof/>
                <w:webHidden/>
              </w:rPr>
              <w:fldChar w:fldCharType="end"/>
            </w:r>
          </w:hyperlink>
        </w:p>
        <w:p w:rsidR="008A2F9F" w:rsidRDefault="008A2F9F">
          <w:pPr>
            <w:pStyle w:val="TOC2"/>
            <w:tabs>
              <w:tab w:val="right" w:leader="dot" w:pos="9350"/>
            </w:tabs>
            <w:rPr>
              <w:rFonts w:eastAsiaTheme="minorEastAsia"/>
              <w:noProof/>
            </w:rPr>
          </w:pPr>
          <w:hyperlink w:anchor="_Toc7689720" w:history="1">
            <w:r w:rsidRPr="005934C1">
              <w:rPr>
                <w:rStyle w:val="Hyperlink"/>
                <w:rFonts w:ascii="Garamond" w:hAnsi="Garamond"/>
                <w:noProof/>
              </w:rPr>
              <w:t>About Town of Old Saybrook</w:t>
            </w:r>
            <w:r>
              <w:rPr>
                <w:noProof/>
                <w:webHidden/>
              </w:rPr>
              <w:tab/>
            </w:r>
            <w:r>
              <w:rPr>
                <w:noProof/>
                <w:webHidden/>
              </w:rPr>
              <w:fldChar w:fldCharType="begin"/>
            </w:r>
            <w:r>
              <w:rPr>
                <w:noProof/>
                <w:webHidden/>
              </w:rPr>
              <w:instrText xml:space="preserve"> PAGEREF _Toc7689720 \h </w:instrText>
            </w:r>
            <w:r>
              <w:rPr>
                <w:noProof/>
                <w:webHidden/>
              </w:rPr>
            </w:r>
            <w:r>
              <w:rPr>
                <w:noProof/>
                <w:webHidden/>
              </w:rPr>
              <w:fldChar w:fldCharType="separate"/>
            </w:r>
            <w:r w:rsidR="008F76E9">
              <w:rPr>
                <w:noProof/>
                <w:webHidden/>
              </w:rPr>
              <w:t>5</w:t>
            </w:r>
            <w:r>
              <w:rPr>
                <w:noProof/>
                <w:webHidden/>
              </w:rPr>
              <w:fldChar w:fldCharType="end"/>
            </w:r>
          </w:hyperlink>
        </w:p>
        <w:p w:rsidR="008A2F9F" w:rsidRDefault="008A2F9F">
          <w:pPr>
            <w:pStyle w:val="TOC2"/>
            <w:tabs>
              <w:tab w:val="right" w:leader="dot" w:pos="9350"/>
            </w:tabs>
            <w:rPr>
              <w:rFonts w:eastAsiaTheme="minorEastAsia"/>
              <w:noProof/>
            </w:rPr>
          </w:pPr>
          <w:hyperlink w:anchor="_Toc7689721" w:history="1">
            <w:r w:rsidRPr="005934C1">
              <w:rPr>
                <w:rStyle w:val="Hyperlink"/>
                <w:rFonts w:ascii="Garamond" w:hAnsi="Garamond"/>
                <w:noProof/>
              </w:rPr>
              <w:t>Purpose of this Investment Policy Statement</w:t>
            </w:r>
            <w:r>
              <w:rPr>
                <w:noProof/>
                <w:webHidden/>
              </w:rPr>
              <w:tab/>
            </w:r>
            <w:r>
              <w:rPr>
                <w:noProof/>
                <w:webHidden/>
              </w:rPr>
              <w:fldChar w:fldCharType="begin"/>
            </w:r>
            <w:r>
              <w:rPr>
                <w:noProof/>
                <w:webHidden/>
              </w:rPr>
              <w:instrText xml:space="preserve"> PAGEREF _Toc7689721 \h </w:instrText>
            </w:r>
            <w:r>
              <w:rPr>
                <w:noProof/>
                <w:webHidden/>
              </w:rPr>
            </w:r>
            <w:r>
              <w:rPr>
                <w:noProof/>
                <w:webHidden/>
              </w:rPr>
              <w:fldChar w:fldCharType="separate"/>
            </w:r>
            <w:r w:rsidR="008F76E9">
              <w:rPr>
                <w:noProof/>
                <w:webHidden/>
              </w:rPr>
              <w:t>5</w:t>
            </w:r>
            <w:r>
              <w:rPr>
                <w:noProof/>
                <w:webHidden/>
              </w:rPr>
              <w:fldChar w:fldCharType="end"/>
            </w:r>
          </w:hyperlink>
        </w:p>
        <w:p w:rsidR="008A2F9F" w:rsidRDefault="008A2F9F">
          <w:pPr>
            <w:pStyle w:val="TOC1"/>
            <w:tabs>
              <w:tab w:val="left" w:pos="440"/>
              <w:tab w:val="right" w:leader="dot" w:pos="9350"/>
            </w:tabs>
            <w:rPr>
              <w:rFonts w:eastAsiaTheme="minorEastAsia"/>
              <w:noProof/>
            </w:rPr>
          </w:pPr>
          <w:hyperlink w:anchor="_Toc7689722" w:history="1">
            <w:r w:rsidRPr="005934C1">
              <w:rPr>
                <w:rStyle w:val="Hyperlink"/>
                <w:rFonts w:ascii="Garamond" w:hAnsi="Garamond"/>
                <w:noProof/>
              </w:rPr>
              <w:t>II.</w:t>
            </w:r>
            <w:r>
              <w:rPr>
                <w:rFonts w:eastAsiaTheme="minorEastAsia"/>
                <w:noProof/>
              </w:rPr>
              <w:tab/>
            </w:r>
            <w:r w:rsidRPr="005934C1">
              <w:rPr>
                <w:rStyle w:val="Hyperlink"/>
                <w:rFonts w:ascii="Garamond" w:hAnsi="Garamond"/>
                <w:noProof/>
              </w:rPr>
              <w:t>Responsibilities of the Plan Fiduciary</w:t>
            </w:r>
            <w:r>
              <w:rPr>
                <w:noProof/>
                <w:webHidden/>
              </w:rPr>
              <w:tab/>
            </w:r>
            <w:r>
              <w:rPr>
                <w:noProof/>
                <w:webHidden/>
              </w:rPr>
              <w:fldChar w:fldCharType="begin"/>
            </w:r>
            <w:r>
              <w:rPr>
                <w:noProof/>
                <w:webHidden/>
              </w:rPr>
              <w:instrText xml:space="preserve"> PAGEREF _Toc7689722 \h </w:instrText>
            </w:r>
            <w:r>
              <w:rPr>
                <w:noProof/>
                <w:webHidden/>
              </w:rPr>
            </w:r>
            <w:r>
              <w:rPr>
                <w:noProof/>
                <w:webHidden/>
              </w:rPr>
              <w:fldChar w:fldCharType="separate"/>
            </w:r>
            <w:r w:rsidR="008F76E9">
              <w:rPr>
                <w:noProof/>
                <w:webHidden/>
              </w:rPr>
              <w:t>6</w:t>
            </w:r>
            <w:r>
              <w:rPr>
                <w:noProof/>
                <w:webHidden/>
              </w:rPr>
              <w:fldChar w:fldCharType="end"/>
            </w:r>
          </w:hyperlink>
        </w:p>
        <w:p w:rsidR="008A2F9F" w:rsidRDefault="008A2F9F">
          <w:pPr>
            <w:pStyle w:val="TOC2"/>
            <w:tabs>
              <w:tab w:val="right" w:leader="dot" w:pos="9350"/>
            </w:tabs>
            <w:rPr>
              <w:rFonts w:eastAsiaTheme="minorEastAsia"/>
              <w:noProof/>
            </w:rPr>
          </w:pPr>
          <w:hyperlink w:anchor="_Toc7689723" w:history="1">
            <w:r w:rsidRPr="005934C1">
              <w:rPr>
                <w:rStyle w:val="Hyperlink"/>
                <w:rFonts w:ascii="Garamond" w:hAnsi="Garamond"/>
                <w:noProof/>
              </w:rPr>
              <w:t>The Town of Old Saybrook Pension and Benefits Board</w:t>
            </w:r>
            <w:r>
              <w:rPr>
                <w:noProof/>
                <w:webHidden/>
              </w:rPr>
              <w:tab/>
            </w:r>
            <w:r>
              <w:rPr>
                <w:noProof/>
                <w:webHidden/>
              </w:rPr>
              <w:fldChar w:fldCharType="begin"/>
            </w:r>
            <w:r>
              <w:rPr>
                <w:noProof/>
                <w:webHidden/>
              </w:rPr>
              <w:instrText xml:space="preserve"> PAGEREF _Toc7689723 \h </w:instrText>
            </w:r>
            <w:r>
              <w:rPr>
                <w:noProof/>
                <w:webHidden/>
              </w:rPr>
            </w:r>
            <w:r>
              <w:rPr>
                <w:noProof/>
                <w:webHidden/>
              </w:rPr>
              <w:fldChar w:fldCharType="separate"/>
            </w:r>
            <w:r w:rsidR="008F76E9">
              <w:rPr>
                <w:noProof/>
                <w:webHidden/>
              </w:rPr>
              <w:t>6</w:t>
            </w:r>
            <w:r>
              <w:rPr>
                <w:noProof/>
                <w:webHidden/>
              </w:rPr>
              <w:fldChar w:fldCharType="end"/>
            </w:r>
          </w:hyperlink>
        </w:p>
        <w:p w:rsidR="008A2F9F" w:rsidRDefault="008A2F9F">
          <w:pPr>
            <w:pStyle w:val="TOC2"/>
            <w:tabs>
              <w:tab w:val="right" w:leader="dot" w:pos="9350"/>
            </w:tabs>
            <w:rPr>
              <w:rFonts w:eastAsiaTheme="minorEastAsia"/>
              <w:noProof/>
            </w:rPr>
          </w:pPr>
          <w:hyperlink w:anchor="_Toc7689724" w:history="1">
            <w:r w:rsidRPr="005934C1">
              <w:rPr>
                <w:rStyle w:val="Hyperlink"/>
                <w:rFonts w:ascii="Garamond" w:hAnsi="Garamond"/>
                <w:noProof/>
              </w:rPr>
              <w:t>The Investment Advisor</w:t>
            </w:r>
            <w:r>
              <w:rPr>
                <w:noProof/>
                <w:webHidden/>
              </w:rPr>
              <w:tab/>
            </w:r>
            <w:r>
              <w:rPr>
                <w:noProof/>
                <w:webHidden/>
              </w:rPr>
              <w:fldChar w:fldCharType="begin"/>
            </w:r>
            <w:r>
              <w:rPr>
                <w:noProof/>
                <w:webHidden/>
              </w:rPr>
              <w:instrText xml:space="preserve"> PAGEREF _Toc7689724 \h </w:instrText>
            </w:r>
            <w:r>
              <w:rPr>
                <w:noProof/>
                <w:webHidden/>
              </w:rPr>
            </w:r>
            <w:r>
              <w:rPr>
                <w:noProof/>
                <w:webHidden/>
              </w:rPr>
              <w:fldChar w:fldCharType="separate"/>
            </w:r>
            <w:r w:rsidR="008F76E9">
              <w:rPr>
                <w:noProof/>
                <w:webHidden/>
              </w:rPr>
              <w:t>6</w:t>
            </w:r>
            <w:r>
              <w:rPr>
                <w:noProof/>
                <w:webHidden/>
              </w:rPr>
              <w:fldChar w:fldCharType="end"/>
            </w:r>
          </w:hyperlink>
        </w:p>
        <w:p w:rsidR="008A2F9F" w:rsidRDefault="008A2F9F">
          <w:pPr>
            <w:pStyle w:val="TOC2"/>
            <w:tabs>
              <w:tab w:val="right" w:leader="dot" w:pos="9350"/>
            </w:tabs>
            <w:rPr>
              <w:rFonts w:eastAsiaTheme="minorEastAsia"/>
              <w:noProof/>
            </w:rPr>
          </w:pPr>
          <w:hyperlink w:anchor="_Toc7689725" w:history="1">
            <w:r w:rsidRPr="005934C1">
              <w:rPr>
                <w:rStyle w:val="Hyperlink"/>
                <w:rFonts w:ascii="Garamond" w:hAnsi="Garamond"/>
                <w:noProof/>
              </w:rPr>
              <w:t>The Custodian</w:t>
            </w:r>
            <w:r>
              <w:rPr>
                <w:noProof/>
                <w:webHidden/>
              </w:rPr>
              <w:tab/>
            </w:r>
            <w:r>
              <w:rPr>
                <w:noProof/>
                <w:webHidden/>
              </w:rPr>
              <w:fldChar w:fldCharType="begin"/>
            </w:r>
            <w:r>
              <w:rPr>
                <w:noProof/>
                <w:webHidden/>
              </w:rPr>
              <w:instrText xml:space="preserve"> PAGEREF _Toc7689725 \h </w:instrText>
            </w:r>
            <w:r>
              <w:rPr>
                <w:noProof/>
                <w:webHidden/>
              </w:rPr>
            </w:r>
            <w:r>
              <w:rPr>
                <w:noProof/>
                <w:webHidden/>
              </w:rPr>
              <w:fldChar w:fldCharType="separate"/>
            </w:r>
            <w:r w:rsidR="008F76E9">
              <w:rPr>
                <w:noProof/>
                <w:webHidden/>
              </w:rPr>
              <w:t>7</w:t>
            </w:r>
            <w:r>
              <w:rPr>
                <w:noProof/>
                <w:webHidden/>
              </w:rPr>
              <w:fldChar w:fldCharType="end"/>
            </w:r>
          </w:hyperlink>
        </w:p>
        <w:p w:rsidR="008A2F9F" w:rsidRDefault="008A2F9F">
          <w:pPr>
            <w:pStyle w:val="TOC1"/>
            <w:tabs>
              <w:tab w:val="left" w:pos="660"/>
              <w:tab w:val="right" w:leader="dot" w:pos="9350"/>
            </w:tabs>
            <w:rPr>
              <w:rFonts w:eastAsiaTheme="minorEastAsia"/>
              <w:noProof/>
            </w:rPr>
          </w:pPr>
          <w:hyperlink w:anchor="_Toc7689726" w:history="1">
            <w:r w:rsidRPr="005934C1">
              <w:rPr>
                <w:rStyle w:val="Hyperlink"/>
                <w:rFonts w:ascii="Garamond" w:hAnsi="Garamond"/>
                <w:noProof/>
              </w:rPr>
              <w:t>III.</w:t>
            </w:r>
            <w:r>
              <w:rPr>
                <w:rFonts w:eastAsiaTheme="minorEastAsia"/>
                <w:noProof/>
              </w:rPr>
              <w:tab/>
            </w:r>
            <w:r w:rsidRPr="005934C1">
              <w:rPr>
                <w:rStyle w:val="Hyperlink"/>
                <w:rFonts w:ascii="Garamond" w:hAnsi="Garamond"/>
                <w:noProof/>
              </w:rPr>
              <w:t>Objectives</w:t>
            </w:r>
            <w:r>
              <w:rPr>
                <w:noProof/>
                <w:webHidden/>
              </w:rPr>
              <w:tab/>
            </w:r>
            <w:r>
              <w:rPr>
                <w:noProof/>
                <w:webHidden/>
              </w:rPr>
              <w:fldChar w:fldCharType="begin"/>
            </w:r>
            <w:r>
              <w:rPr>
                <w:noProof/>
                <w:webHidden/>
              </w:rPr>
              <w:instrText xml:space="preserve"> PAGEREF _Toc7689726 \h </w:instrText>
            </w:r>
            <w:r>
              <w:rPr>
                <w:noProof/>
                <w:webHidden/>
              </w:rPr>
            </w:r>
            <w:r>
              <w:rPr>
                <w:noProof/>
                <w:webHidden/>
              </w:rPr>
              <w:fldChar w:fldCharType="separate"/>
            </w:r>
            <w:r w:rsidR="008F76E9">
              <w:rPr>
                <w:noProof/>
                <w:webHidden/>
              </w:rPr>
              <w:t>7</w:t>
            </w:r>
            <w:r>
              <w:rPr>
                <w:noProof/>
                <w:webHidden/>
              </w:rPr>
              <w:fldChar w:fldCharType="end"/>
            </w:r>
          </w:hyperlink>
        </w:p>
        <w:p w:rsidR="008A2F9F" w:rsidRDefault="008A2F9F">
          <w:pPr>
            <w:pStyle w:val="TOC2"/>
            <w:tabs>
              <w:tab w:val="right" w:leader="dot" w:pos="9350"/>
            </w:tabs>
            <w:rPr>
              <w:rFonts w:eastAsiaTheme="minorEastAsia"/>
              <w:noProof/>
            </w:rPr>
          </w:pPr>
          <w:hyperlink w:anchor="_Toc7689727" w:history="1">
            <w:r w:rsidRPr="005934C1">
              <w:rPr>
                <w:rStyle w:val="Hyperlink"/>
                <w:rFonts w:ascii="Garamond" w:hAnsi="Garamond"/>
                <w:noProof/>
              </w:rPr>
              <w:t>Risk Tolerance</w:t>
            </w:r>
            <w:r>
              <w:rPr>
                <w:noProof/>
                <w:webHidden/>
              </w:rPr>
              <w:tab/>
            </w:r>
            <w:r>
              <w:rPr>
                <w:noProof/>
                <w:webHidden/>
              </w:rPr>
              <w:fldChar w:fldCharType="begin"/>
            </w:r>
            <w:r>
              <w:rPr>
                <w:noProof/>
                <w:webHidden/>
              </w:rPr>
              <w:instrText xml:space="preserve"> PAGEREF _Toc7689727 \h </w:instrText>
            </w:r>
            <w:r>
              <w:rPr>
                <w:noProof/>
                <w:webHidden/>
              </w:rPr>
            </w:r>
            <w:r>
              <w:rPr>
                <w:noProof/>
                <w:webHidden/>
              </w:rPr>
              <w:fldChar w:fldCharType="separate"/>
            </w:r>
            <w:r w:rsidR="008F76E9">
              <w:rPr>
                <w:noProof/>
                <w:webHidden/>
              </w:rPr>
              <w:t>7</w:t>
            </w:r>
            <w:r>
              <w:rPr>
                <w:noProof/>
                <w:webHidden/>
              </w:rPr>
              <w:fldChar w:fldCharType="end"/>
            </w:r>
          </w:hyperlink>
        </w:p>
        <w:p w:rsidR="008A2F9F" w:rsidRDefault="008A2F9F">
          <w:pPr>
            <w:pStyle w:val="TOC2"/>
            <w:tabs>
              <w:tab w:val="right" w:leader="dot" w:pos="9350"/>
            </w:tabs>
            <w:rPr>
              <w:rFonts w:eastAsiaTheme="minorEastAsia"/>
              <w:noProof/>
            </w:rPr>
          </w:pPr>
          <w:hyperlink w:anchor="_Toc7689728" w:history="1">
            <w:r w:rsidRPr="005934C1">
              <w:rPr>
                <w:rStyle w:val="Hyperlink"/>
                <w:rFonts w:ascii="Garamond" w:hAnsi="Garamond"/>
                <w:noProof/>
              </w:rPr>
              <w:t>Investment Objectives</w:t>
            </w:r>
            <w:r>
              <w:rPr>
                <w:noProof/>
                <w:webHidden/>
              </w:rPr>
              <w:tab/>
            </w:r>
            <w:r>
              <w:rPr>
                <w:noProof/>
                <w:webHidden/>
              </w:rPr>
              <w:fldChar w:fldCharType="begin"/>
            </w:r>
            <w:r>
              <w:rPr>
                <w:noProof/>
                <w:webHidden/>
              </w:rPr>
              <w:instrText xml:space="preserve"> PAGEREF _Toc7689728 \h </w:instrText>
            </w:r>
            <w:r>
              <w:rPr>
                <w:noProof/>
                <w:webHidden/>
              </w:rPr>
            </w:r>
            <w:r>
              <w:rPr>
                <w:noProof/>
                <w:webHidden/>
              </w:rPr>
              <w:fldChar w:fldCharType="separate"/>
            </w:r>
            <w:r w:rsidR="008F76E9">
              <w:rPr>
                <w:noProof/>
                <w:webHidden/>
              </w:rPr>
              <w:t>7</w:t>
            </w:r>
            <w:r>
              <w:rPr>
                <w:noProof/>
                <w:webHidden/>
              </w:rPr>
              <w:fldChar w:fldCharType="end"/>
            </w:r>
          </w:hyperlink>
        </w:p>
        <w:p w:rsidR="008A2F9F" w:rsidRDefault="008A2F9F">
          <w:pPr>
            <w:pStyle w:val="TOC2"/>
            <w:tabs>
              <w:tab w:val="right" w:leader="dot" w:pos="9350"/>
            </w:tabs>
            <w:rPr>
              <w:rFonts w:eastAsiaTheme="minorEastAsia"/>
              <w:noProof/>
            </w:rPr>
          </w:pPr>
          <w:hyperlink w:anchor="_Toc7689729" w:history="1">
            <w:r w:rsidRPr="005934C1">
              <w:rPr>
                <w:rStyle w:val="Hyperlink"/>
                <w:rFonts w:ascii="Garamond" w:hAnsi="Garamond"/>
                <w:noProof/>
              </w:rPr>
              <w:t>Return Objectives</w:t>
            </w:r>
            <w:r>
              <w:rPr>
                <w:noProof/>
                <w:webHidden/>
              </w:rPr>
              <w:tab/>
            </w:r>
            <w:r>
              <w:rPr>
                <w:noProof/>
                <w:webHidden/>
              </w:rPr>
              <w:fldChar w:fldCharType="begin"/>
            </w:r>
            <w:r>
              <w:rPr>
                <w:noProof/>
                <w:webHidden/>
              </w:rPr>
              <w:instrText xml:space="preserve"> PAGEREF _Toc7689729 \h </w:instrText>
            </w:r>
            <w:r>
              <w:rPr>
                <w:noProof/>
                <w:webHidden/>
              </w:rPr>
            </w:r>
            <w:r>
              <w:rPr>
                <w:noProof/>
                <w:webHidden/>
              </w:rPr>
              <w:fldChar w:fldCharType="separate"/>
            </w:r>
            <w:r w:rsidR="008F76E9">
              <w:rPr>
                <w:noProof/>
                <w:webHidden/>
              </w:rPr>
              <w:t>8</w:t>
            </w:r>
            <w:r>
              <w:rPr>
                <w:noProof/>
                <w:webHidden/>
              </w:rPr>
              <w:fldChar w:fldCharType="end"/>
            </w:r>
          </w:hyperlink>
        </w:p>
        <w:p w:rsidR="008A2F9F" w:rsidRDefault="008A2F9F">
          <w:pPr>
            <w:pStyle w:val="TOC1"/>
            <w:tabs>
              <w:tab w:val="left" w:pos="660"/>
              <w:tab w:val="right" w:leader="dot" w:pos="9350"/>
            </w:tabs>
            <w:rPr>
              <w:rFonts w:eastAsiaTheme="minorEastAsia"/>
              <w:noProof/>
            </w:rPr>
          </w:pPr>
          <w:hyperlink w:anchor="_Toc7689730" w:history="1">
            <w:r w:rsidRPr="005934C1">
              <w:rPr>
                <w:rStyle w:val="Hyperlink"/>
                <w:rFonts w:ascii="Garamond" w:hAnsi="Garamond"/>
                <w:noProof/>
              </w:rPr>
              <w:t>IV.</w:t>
            </w:r>
            <w:r>
              <w:rPr>
                <w:rFonts w:eastAsiaTheme="minorEastAsia"/>
                <w:noProof/>
              </w:rPr>
              <w:tab/>
            </w:r>
            <w:r w:rsidRPr="005934C1">
              <w:rPr>
                <w:rStyle w:val="Hyperlink"/>
                <w:rFonts w:ascii="Garamond" w:hAnsi="Garamond"/>
                <w:noProof/>
              </w:rPr>
              <w:t>Asset Allocation Strategy</w:t>
            </w:r>
            <w:r>
              <w:rPr>
                <w:noProof/>
                <w:webHidden/>
              </w:rPr>
              <w:tab/>
            </w:r>
            <w:r>
              <w:rPr>
                <w:noProof/>
                <w:webHidden/>
              </w:rPr>
              <w:fldChar w:fldCharType="begin"/>
            </w:r>
            <w:r>
              <w:rPr>
                <w:noProof/>
                <w:webHidden/>
              </w:rPr>
              <w:instrText xml:space="preserve"> PAGEREF _Toc7689730 \h </w:instrText>
            </w:r>
            <w:r>
              <w:rPr>
                <w:noProof/>
                <w:webHidden/>
              </w:rPr>
            </w:r>
            <w:r>
              <w:rPr>
                <w:noProof/>
                <w:webHidden/>
              </w:rPr>
              <w:fldChar w:fldCharType="separate"/>
            </w:r>
            <w:r w:rsidR="008F76E9">
              <w:rPr>
                <w:noProof/>
                <w:webHidden/>
              </w:rPr>
              <w:t>8</w:t>
            </w:r>
            <w:r>
              <w:rPr>
                <w:noProof/>
                <w:webHidden/>
              </w:rPr>
              <w:fldChar w:fldCharType="end"/>
            </w:r>
          </w:hyperlink>
        </w:p>
        <w:p w:rsidR="008A2F9F" w:rsidRDefault="008A2F9F">
          <w:pPr>
            <w:pStyle w:val="TOC2"/>
            <w:tabs>
              <w:tab w:val="right" w:leader="dot" w:pos="9350"/>
            </w:tabs>
            <w:rPr>
              <w:rFonts w:eastAsiaTheme="minorEastAsia"/>
              <w:noProof/>
            </w:rPr>
          </w:pPr>
          <w:hyperlink w:anchor="_Toc7689731" w:history="1">
            <w:r w:rsidRPr="005934C1">
              <w:rPr>
                <w:rStyle w:val="Hyperlink"/>
                <w:rFonts w:ascii="Garamond" w:hAnsi="Garamond"/>
                <w:noProof/>
              </w:rPr>
              <w:t>Town Plan Asset Allocation</w:t>
            </w:r>
            <w:r>
              <w:rPr>
                <w:noProof/>
                <w:webHidden/>
              </w:rPr>
              <w:tab/>
            </w:r>
            <w:r>
              <w:rPr>
                <w:noProof/>
                <w:webHidden/>
              </w:rPr>
              <w:fldChar w:fldCharType="begin"/>
            </w:r>
            <w:r>
              <w:rPr>
                <w:noProof/>
                <w:webHidden/>
              </w:rPr>
              <w:instrText xml:space="preserve"> PAGEREF _Toc7689731 \h </w:instrText>
            </w:r>
            <w:r>
              <w:rPr>
                <w:noProof/>
                <w:webHidden/>
              </w:rPr>
            </w:r>
            <w:r>
              <w:rPr>
                <w:noProof/>
                <w:webHidden/>
              </w:rPr>
              <w:fldChar w:fldCharType="separate"/>
            </w:r>
            <w:r w:rsidR="008F76E9">
              <w:rPr>
                <w:noProof/>
                <w:webHidden/>
              </w:rPr>
              <w:t>8</w:t>
            </w:r>
            <w:r>
              <w:rPr>
                <w:noProof/>
                <w:webHidden/>
              </w:rPr>
              <w:fldChar w:fldCharType="end"/>
            </w:r>
          </w:hyperlink>
        </w:p>
        <w:p w:rsidR="008A2F9F" w:rsidRDefault="008A2F9F">
          <w:pPr>
            <w:pStyle w:val="TOC2"/>
            <w:tabs>
              <w:tab w:val="right" w:leader="dot" w:pos="9350"/>
            </w:tabs>
            <w:rPr>
              <w:rFonts w:eastAsiaTheme="minorEastAsia"/>
              <w:noProof/>
            </w:rPr>
          </w:pPr>
          <w:hyperlink w:anchor="_Toc7689732" w:history="1">
            <w:r w:rsidRPr="005934C1">
              <w:rPr>
                <w:rStyle w:val="Hyperlink"/>
                <w:rFonts w:ascii="Garamond" w:hAnsi="Garamond"/>
                <w:noProof/>
              </w:rPr>
              <w:t>Fire Department Asset Allocation</w:t>
            </w:r>
            <w:r>
              <w:rPr>
                <w:noProof/>
                <w:webHidden/>
              </w:rPr>
              <w:tab/>
            </w:r>
            <w:r>
              <w:rPr>
                <w:noProof/>
                <w:webHidden/>
              </w:rPr>
              <w:fldChar w:fldCharType="begin"/>
            </w:r>
            <w:r>
              <w:rPr>
                <w:noProof/>
                <w:webHidden/>
              </w:rPr>
              <w:instrText xml:space="preserve"> PAGEREF _Toc7689732 \h </w:instrText>
            </w:r>
            <w:r>
              <w:rPr>
                <w:noProof/>
                <w:webHidden/>
              </w:rPr>
            </w:r>
            <w:r>
              <w:rPr>
                <w:noProof/>
                <w:webHidden/>
              </w:rPr>
              <w:fldChar w:fldCharType="separate"/>
            </w:r>
            <w:r w:rsidR="008F76E9">
              <w:rPr>
                <w:noProof/>
                <w:webHidden/>
              </w:rPr>
              <w:t>9</w:t>
            </w:r>
            <w:r>
              <w:rPr>
                <w:noProof/>
                <w:webHidden/>
              </w:rPr>
              <w:fldChar w:fldCharType="end"/>
            </w:r>
          </w:hyperlink>
        </w:p>
        <w:p w:rsidR="008A2F9F" w:rsidRDefault="008A2F9F">
          <w:pPr>
            <w:pStyle w:val="TOC2"/>
            <w:tabs>
              <w:tab w:val="right" w:leader="dot" w:pos="9350"/>
            </w:tabs>
            <w:rPr>
              <w:rFonts w:eastAsiaTheme="minorEastAsia"/>
              <w:noProof/>
            </w:rPr>
          </w:pPr>
          <w:hyperlink w:anchor="_Toc7689733" w:history="1">
            <w:r w:rsidRPr="005934C1">
              <w:rPr>
                <w:rStyle w:val="Hyperlink"/>
                <w:rFonts w:ascii="Garamond" w:hAnsi="Garamond"/>
                <w:noProof/>
              </w:rPr>
              <w:t>Overall Asset Allocation</w:t>
            </w:r>
            <w:r>
              <w:rPr>
                <w:noProof/>
                <w:webHidden/>
              </w:rPr>
              <w:tab/>
            </w:r>
            <w:r>
              <w:rPr>
                <w:noProof/>
                <w:webHidden/>
              </w:rPr>
              <w:fldChar w:fldCharType="begin"/>
            </w:r>
            <w:r>
              <w:rPr>
                <w:noProof/>
                <w:webHidden/>
              </w:rPr>
              <w:instrText xml:space="preserve"> PAGEREF _Toc7689733 \h </w:instrText>
            </w:r>
            <w:r>
              <w:rPr>
                <w:noProof/>
                <w:webHidden/>
              </w:rPr>
            </w:r>
            <w:r>
              <w:rPr>
                <w:noProof/>
                <w:webHidden/>
              </w:rPr>
              <w:fldChar w:fldCharType="separate"/>
            </w:r>
            <w:r w:rsidR="008F76E9">
              <w:rPr>
                <w:noProof/>
                <w:webHidden/>
              </w:rPr>
              <w:t>9</w:t>
            </w:r>
            <w:r>
              <w:rPr>
                <w:noProof/>
                <w:webHidden/>
              </w:rPr>
              <w:fldChar w:fldCharType="end"/>
            </w:r>
          </w:hyperlink>
        </w:p>
        <w:p w:rsidR="008A2F9F" w:rsidRDefault="008A2F9F">
          <w:pPr>
            <w:pStyle w:val="TOC2"/>
            <w:tabs>
              <w:tab w:val="right" w:leader="dot" w:pos="9350"/>
            </w:tabs>
            <w:rPr>
              <w:rFonts w:eastAsiaTheme="minorEastAsia"/>
              <w:noProof/>
            </w:rPr>
          </w:pPr>
          <w:hyperlink w:anchor="_Toc7689734" w:history="1">
            <w:r w:rsidRPr="005934C1">
              <w:rPr>
                <w:rStyle w:val="Hyperlink"/>
                <w:rFonts w:ascii="Garamond" w:hAnsi="Garamond"/>
                <w:noProof/>
              </w:rPr>
              <w:t>Rebalancing Procedures</w:t>
            </w:r>
            <w:r>
              <w:rPr>
                <w:noProof/>
                <w:webHidden/>
              </w:rPr>
              <w:tab/>
            </w:r>
            <w:r>
              <w:rPr>
                <w:noProof/>
                <w:webHidden/>
              </w:rPr>
              <w:fldChar w:fldCharType="begin"/>
            </w:r>
            <w:r>
              <w:rPr>
                <w:noProof/>
                <w:webHidden/>
              </w:rPr>
              <w:instrText xml:space="preserve"> PAGEREF _Toc7689734 \h </w:instrText>
            </w:r>
            <w:r>
              <w:rPr>
                <w:noProof/>
                <w:webHidden/>
              </w:rPr>
            </w:r>
            <w:r>
              <w:rPr>
                <w:noProof/>
                <w:webHidden/>
              </w:rPr>
              <w:fldChar w:fldCharType="separate"/>
            </w:r>
            <w:r w:rsidR="008F76E9">
              <w:rPr>
                <w:noProof/>
                <w:webHidden/>
              </w:rPr>
              <w:t>9</w:t>
            </w:r>
            <w:r>
              <w:rPr>
                <w:noProof/>
                <w:webHidden/>
              </w:rPr>
              <w:fldChar w:fldCharType="end"/>
            </w:r>
          </w:hyperlink>
        </w:p>
        <w:p w:rsidR="008A2F9F" w:rsidRDefault="008A2F9F">
          <w:pPr>
            <w:pStyle w:val="TOC1"/>
            <w:tabs>
              <w:tab w:val="left" w:pos="440"/>
              <w:tab w:val="right" w:leader="dot" w:pos="9350"/>
            </w:tabs>
            <w:rPr>
              <w:rFonts w:eastAsiaTheme="minorEastAsia"/>
              <w:noProof/>
            </w:rPr>
          </w:pPr>
          <w:hyperlink w:anchor="_Toc7689735" w:history="1">
            <w:r w:rsidRPr="005934C1">
              <w:rPr>
                <w:rStyle w:val="Hyperlink"/>
                <w:rFonts w:ascii="Garamond" w:hAnsi="Garamond"/>
                <w:noProof/>
              </w:rPr>
              <w:t>V.</w:t>
            </w:r>
            <w:r>
              <w:rPr>
                <w:rFonts w:eastAsiaTheme="minorEastAsia"/>
                <w:noProof/>
              </w:rPr>
              <w:tab/>
            </w:r>
            <w:r w:rsidRPr="005934C1">
              <w:rPr>
                <w:rStyle w:val="Hyperlink"/>
                <w:rFonts w:ascii="Garamond" w:hAnsi="Garamond"/>
                <w:noProof/>
              </w:rPr>
              <w:t>Responsibilities of the Investment Managers</w:t>
            </w:r>
            <w:r>
              <w:rPr>
                <w:noProof/>
                <w:webHidden/>
              </w:rPr>
              <w:tab/>
            </w:r>
            <w:r>
              <w:rPr>
                <w:noProof/>
                <w:webHidden/>
              </w:rPr>
              <w:fldChar w:fldCharType="begin"/>
            </w:r>
            <w:r>
              <w:rPr>
                <w:noProof/>
                <w:webHidden/>
              </w:rPr>
              <w:instrText xml:space="preserve"> PAGEREF _Toc7689735 \h </w:instrText>
            </w:r>
            <w:r>
              <w:rPr>
                <w:noProof/>
                <w:webHidden/>
              </w:rPr>
            </w:r>
            <w:r>
              <w:rPr>
                <w:noProof/>
                <w:webHidden/>
              </w:rPr>
              <w:fldChar w:fldCharType="separate"/>
            </w:r>
            <w:r w:rsidR="008F76E9">
              <w:rPr>
                <w:noProof/>
                <w:webHidden/>
              </w:rPr>
              <w:t>10</w:t>
            </w:r>
            <w:r>
              <w:rPr>
                <w:noProof/>
                <w:webHidden/>
              </w:rPr>
              <w:fldChar w:fldCharType="end"/>
            </w:r>
          </w:hyperlink>
        </w:p>
        <w:p w:rsidR="008A2F9F" w:rsidRDefault="008A2F9F">
          <w:pPr>
            <w:pStyle w:val="TOC2"/>
            <w:tabs>
              <w:tab w:val="right" w:leader="dot" w:pos="9350"/>
            </w:tabs>
            <w:rPr>
              <w:rFonts w:eastAsiaTheme="minorEastAsia"/>
              <w:noProof/>
            </w:rPr>
          </w:pPr>
          <w:hyperlink w:anchor="_Toc7689736" w:history="1">
            <w:r w:rsidRPr="005934C1">
              <w:rPr>
                <w:rStyle w:val="Hyperlink"/>
                <w:rFonts w:ascii="Garamond" w:hAnsi="Garamond"/>
                <w:noProof/>
              </w:rPr>
              <w:t>Fiduciary Responsibilities</w:t>
            </w:r>
            <w:r>
              <w:rPr>
                <w:noProof/>
                <w:webHidden/>
              </w:rPr>
              <w:tab/>
            </w:r>
            <w:r>
              <w:rPr>
                <w:noProof/>
                <w:webHidden/>
              </w:rPr>
              <w:fldChar w:fldCharType="begin"/>
            </w:r>
            <w:r>
              <w:rPr>
                <w:noProof/>
                <w:webHidden/>
              </w:rPr>
              <w:instrText xml:space="preserve"> PAGEREF _Toc7689736 \h </w:instrText>
            </w:r>
            <w:r>
              <w:rPr>
                <w:noProof/>
                <w:webHidden/>
              </w:rPr>
            </w:r>
            <w:r>
              <w:rPr>
                <w:noProof/>
                <w:webHidden/>
              </w:rPr>
              <w:fldChar w:fldCharType="separate"/>
            </w:r>
            <w:r w:rsidR="008F76E9">
              <w:rPr>
                <w:noProof/>
                <w:webHidden/>
              </w:rPr>
              <w:t>10</w:t>
            </w:r>
            <w:r>
              <w:rPr>
                <w:noProof/>
                <w:webHidden/>
              </w:rPr>
              <w:fldChar w:fldCharType="end"/>
            </w:r>
          </w:hyperlink>
        </w:p>
        <w:p w:rsidR="008A2F9F" w:rsidRDefault="008A2F9F">
          <w:pPr>
            <w:pStyle w:val="TOC2"/>
            <w:tabs>
              <w:tab w:val="right" w:leader="dot" w:pos="9350"/>
            </w:tabs>
            <w:rPr>
              <w:rFonts w:eastAsiaTheme="minorEastAsia"/>
              <w:noProof/>
            </w:rPr>
          </w:pPr>
          <w:hyperlink w:anchor="_Toc7689737" w:history="1">
            <w:r w:rsidRPr="005934C1">
              <w:rPr>
                <w:rStyle w:val="Hyperlink"/>
                <w:rFonts w:ascii="Garamond" w:hAnsi="Garamond"/>
                <w:noProof/>
              </w:rPr>
              <w:t>Proxy Voting</w:t>
            </w:r>
            <w:r>
              <w:rPr>
                <w:noProof/>
                <w:webHidden/>
              </w:rPr>
              <w:tab/>
            </w:r>
            <w:r>
              <w:rPr>
                <w:noProof/>
                <w:webHidden/>
              </w:rPr>
              <w:fldChar w:fldCharType="begin"/>
            </w:r>
            <w:r>
              <w:rPr>
                <w:noProof/>
                <w:webHidden/>
              </w:rPr>
              <w:instrText xml:space="preserve"> PAGEREF _Toc7689737 \h </w:instrText>
            </w:r>
            <w:r>
              <w:rPr>
                <w:noProof/>
                <w:webHidden/>
              </w:rPr>
            </w:r>
            <w:r>
              <w:rPr>
                <w:noProof/>
                <w:webHidden/>
              </w:rPr>
              <w:fldChar w:fldCharType="separate"/>
            </w:r>
            <w:r w:rsidR="008F76E9">
              <w:rPr>
                <w:noProof/>
                <w:webHidden/>
              </w:rPr>
              <w:t>10</w:t>
            </w:r>
            <w:r>
              <w:rPr>
                <w:noProof/>
                <w:webHidden/>
              </w:rPr>
              <w:fldChar w:fldCharType="end"/>
            </w:r>
          </w:hyperlink>
        </w:p>
        <w:p w:rsidR="008A2F9F" w:rsidRDefault="008A2F9F">
          <w:pPr>
            <w:pStyle w:val="TOC1"/>
            <w:tabs>
              <w:tab w:val="left" w:pos="660"/>
              <w:tab w:val="right" w:leader="dot" w:pos="9350"/>
            </w:tabs>
            <w:rPr>
              <w:rFonts w:eastAsiaTheme="minorEastAsia"/>
              <w:noProof/>
            </w:rPr>
          </w:pPr>
          <w:hyperlink w:anchor="_Toc7689738" w:history="1">
            <w:r w:rsidRPr="005934C1">
              <w:rPr>
                <w:rStyle w:val="Hyperlink"/>
                <w:rFonts w:ascii="Garamond" w:hAnsi="Garamond"/>
                <w:noProof/>
              </w:rPr>
              <w:t>VI.</w:t>
            </w:r>
            <w:r>
              <w:rPr>
                <w:rFonts w:eastAsiaTheme="minorEastAsia"/>
                <w:noProof/>
              </w:rPr>
              <w:tab/>
            </w:r>
            <w:r w:rsidRPr="005934C1">
              <w:rPr>
                <w:rStyle w:val="Hyperlink"/>
                <w:rFonts w:ascii="Garamond" w:hAnsi="Garamond"/>
                <w:noProof/>
              </w:rPr>
              <w:t>Investment Strategy</w:t>
            </w:r>
            <w:r>
              <w:rPr>
                <w:noProof/>
                <w:webHidden/>
              </w:rPr>
              <w:tab/>
            </w:r>
            <w:r>
              <w:rPr>
                <w:noProof/>
                <w:webHidden/>
              </w:rPr>
              <w:fldChar w:fldCharType="begin"/>
            </w:r>
            <w:r>
              <w:rPr>
                <w:noProof/>
                <w:webHidden/>
              </w:rPr>
              <w:instrText xml:space="preserve"> PAGEREF _Toc7689738 \h </w:instrText>
            </w:r>
            <w:r>
              <w:rPr>
                <w:noProof/>
                <w:webHidden/>
              </w:rPr>
            </w:r>
            <w:r>
              <w:rPr>
                <w:noProof/>
                <w:webHidden/>
              </w:rPr>
              <w:fldChar w:fldCharType="separate"/>
            </w:r>
            <w:r w:rsidR="008F76E9">
              <w:rPr>
                <w:noProof/>
                <w:webHidden/>
              </w:rPr>
              <w:t>10</w:t>
            </w:r>
            <w:r>
              <w:rPr>
                <w:noProof/>
                <w:webHidden/>
              </w:rPr>
              <w:fldChar w:fldCharType="end"/>
            </w:r>
          </w:hyperlink>
        </w:p>
        <w:p w:rsidR="008A2F9F" w:rsidRDefault="008A2F9F">
          <w:pPr>
            <w:pStyle w:val="TOC2"/>
            <w:tabs>
              <w:tab w:val="right" w:leader="dot" w:pos="9350"/>
            </w:tabs>
            <w:rPr>
              <w:rFonts w:eastAsiaTheme="minorEastAsia"/>
              <w:noProof/>
            </w:rPr>
          </w:pPr>
          <w:hyperlink w:anchor="_Toc7689739" w:history="1">
            <w:r w:rsidRPr="005934C1">
              <w:rPr>
                <w:rStyle w:val="Hyperlink"/>
                <w:rFonts w:ascii="Garamond" w:hAnsi="Garamond"/>
                <w:noProof/>
              </w:rPr>
              <w:t>Selection Criteria for Investment Managers</w:t>
            </w:r>
            <w:r>
              <w:rPr>
                <w:noProof/>
                <w:webHidden/>
              </w:rPr>
              <w:tab/>
            </w:r>
            <w:r>
              <w:rPr>
                <w:noProof/>
                <w:webHidden/>
              </w:rPr>
              <w:fldChar w:fldCharType="begin"/>
            </w:r>
            <w:r>
              <w:rPr>
                <w:noProof/>
                <w:webHidden/>
              </w:rPr>
              <w:instrText xml:space="preserve"> PAGEREF _Toc7689739 \h </w:instrText>
            </w:r>
            <w:r>
              <w:rPr>
                <w:noProof/>
                <w:webHidden/>
              </w:rPr>
            </w:r>
            <w:r>
              <w:rPr>
                <w:noProof/>
                <w:webHidden/>
              </w:rPr>
              <w:fldChar w:fldCharType="separate"/>
            </w:r>
            <w:r w:rsidR="008F76E9">
              <w:rPr>
                <w:noProof/>
                <w:webHidden/>
              </w:rPr>
              <w:t>10</w:t>
            </w:r>
            <w:r>
              <w:rPr>
                <w:noProof/>
                <w:webHidden/>
              </w:rPr>
              <w:fldChar w:fldCharType="end"/>
            </w:r>
          </w:hyperlink>
        </w:p>
        <w:p w:rsidR="008A2F9F" w:rsidRDefault="008A2F9F">
          <w:pPr>
            <w:pStyle w:val="TOC2"/>
            <w:tabs>
              <w:tab w:val="right" w:leader="dot" w:pos="9350"/>
            </w:tabs>
            <w:rPr>
              <w:rFonts w:eastAsiaTheme="minorEastAsia"/>
              <w:noProof/>
            </w:rPr>
          </w:pPr>
          <w:hyperlink w:anchor="_Toc7689740" w:history="1">
            <w:r w:rsidRPr="005934C1">
              <w:rPr>
                <w:rStyle w:val="Hyperlink"/>
                <w:rFonts w:ascii="Garamond" w:hAnsi="Garamond"/>
                <w:noProof/>
              </w:rPr>
              <w:t>Security Selection / Asset Allocation</w:t>
            </w:r>
            <w:r>
              <w:rPr>
                <w:noProof/>
                <w:webHidden/>
              </w:rPr>
              <w:tab/>
            </w:r>
            <w:r>
              <w:rPr>
                <w:noProof/>
                <w:webHidden/>
              </w:rPr>
              <w:fldChar w:fldCharType="begin"/>
            </w:r>
            <w:r>
              <w:rPr>
                <w:noProof/>
                <w:webHidden/>
              </w:rPr>
              <w:instrText xml:space="preserve"> PAGEREF _Toc7689740 \h </w:instrText>
            </w:r>
            <w:r>
              <w:rPr>
                <w:noProof/>
                <w:webHidden/>
              </w:rPr>
            </w:r>
            <w:r>
              <w:rPr>
                <w:noProof/>
                <w:webHidden/>
              </w:rPr>
              <w:fldChar w:fldCharType="separate"/>
            </w:r>
            <w:r w:rsidR="008F76E9">
              <w:rPr>
                <w:noProof/>
                <w:webHidden/>
              </w:rPr>
              <w:t>11</w:t>
            </w:r>
            <w:r>
              <w:rPr>
                <w:noProof/>
                <w:webHidden/>
              </w:rPr>
              <w:fldChar w:fldCharType="end"/>
            </w:r>
          </w:hyperlink>
        </w:p>
        <w:p w:rsidR="008A2F9F" w:rsidRDefault="008A2F9F">
          <w:pPr>
            <w:pStyle w:val="TOC2"/>
            <w:tabs>
              <w:tab w:val="right" w:leader="dot" w:pos="9350"/>
            </w:tabs>
            <w:rPr>
              <w:rFonts w:eastAsiaTheme="minorEastAsia"/>
              <w:noProof/>
            </w:rPr>
          </w:pPr>
          <w:hyperlink w:anchor="_Toc7689741" w:history="1">
            <w:r w:rsidRPr="005934C1">
              <w:rPr>
                <w:rStyle w:val="Hyperlink"/>
                <w:rFonts w:ascii="Garamond" w:hAnsi="Garamond"/>
                <w:noProof/>
              </w:rPr>
              <w:t>Diversification Requirements</w:t>
            </w:r>
            <w:r>
              <w:rPr>
                <w:noProof/>
                <w:webHidden/>
              </w:rPr>
              <w:tab/>
            </w:r>
            <w:r>
              <w:rPr>
                <w:noProof/>
                <w:webHidden/>
              </w:rPr>
              <w:fldChar w:fldCharType="begin"/>
            </w:r>
            <w:r>
              <w:rPr>
                <w:noProof/>
                <w:webHidden/>
              </w:rPr>
              <w:instrText xml:space="preserve"> PAGEREF _Toc7689741 \h </w:instrText>
            </w:r>
            <w:r>
              <w:rPr>
                <w:noProof/>
                <w:webHidden/>
              </w:rPr>
            </w:r>
            <w:r>
              <w:rPr>
                <w:noProof/>
                <w:webHidden/>
              </w:rPr>
              <w:fldChar w:fldCharType="separate"/>
            </w:r>
            <w:r w:rsidR="008F76E9">
              <w:rPr>
                <w:noProof/>
                <w:webHidden/>
              </w:rPr>
              <w:t>11</w:t>
            </w:r>
            <w:r>
              <w:rPr>
                <w:noProof/>
                <w:webHidden/>
              </w:rPr>
              <w:fldChar w:fldCharType="end"/>
            </w:r>
          </w:hyperlink>
        </w:p>
        <w:p w:rsidR="008A2F9F" w:rsidRDefault="008A2F9F">
          <w:pPr>
            <w:pStyle w:val="TOC2"/>
            <w:tabs>
              <w:tab w:val="right" w:leader="dot" w:pos="9350"/>
            </w:tabs>
            <w:rPr>
              <w:rFonts w:eastAsiaTheme="minorEastAsia"/>
              <w:noProof/>
            </w:rPr>
          </w:pPr>
          <w:hyperlink w:anchor="_Toc7689742" w:history="1">
            <w:r w:rsidRPr="005934C1">
              <w:rPr>
                <w:rStyle w:val="Hyperlink"/>
                <w:rFonts w:ascii="Garamond" w:hAnsi="Garamond"/>
                <w:noProof/>
              </w:rPr>
              <w:t>Derivatives and Structured Products</w:t>
            </w:r>
            <w:r>
              <w:rPr>
                <w:noProof/>
                <w:webHidden/>
              </w:rPr>
              <w:tab/>
            </w:r>
            <w:r>
              <w:rPr>
                <w:noProof/>
                <w:webHidden/>
              </w:rPr>
              <w:fldChar w:fldCharType="begin"/>
            </w:r>
            <w:r>
              <w:rPr>
                <w:noProof/>
                <w:webHidden/>
              </w:rPr>
              <w:instrText xml:space="preserve"> PAGEREF _Toc7689742 \h </w:instrText>
            </w:r>
            <w:r>
              <w:rPr>
                <w:noProof/>
                <w:webHidden/>
              </w:rPr>
            </w:r>
            <w:r>
              <w:rPr>
                <w:noProof/>
                <w:webHidden/>
              </w:rPr>
              <w:fldChar w:fldCharType="separate"/>
            </w:r>
            <w:r w:rsidR="008F76E9">
              <w:rPr>
                <w:noProof/>
                <w:webHidden/>
              </w:rPr>
              <w:t>11</w:t>
            </w:r>
            <w:r>
              <w:rPr>
                <w:noProof/>
                <w:webHidden/>
              </w:rPr>
              <w:fldChar w:fldCharType="end"/>
            </w:r>
          </w:hyperlink>
        </w:p>
        <w:p w:rsidR="008A2F9F" w:rsidRDefault="008A2F9F">
          <w:pPr>
            <w:pStyle w:val="TOC2"/>
            <w:tabs>
              <w:tab w:val="right" w:leader="dot" w:pos="9350"/>
            </w:tabs>
            <w:rPr>
              <w:rFonts w:eastAsiaTheme="minorEastAsia"/>
              <w:noProof/>
            </w:rPr>
          </w:pPr>
          <w:hyperlink w:anchor="_Toc7689743" w:history="1">
            <w:r w:rsidRPr="005934C1">
              <w:rPr>
                <w:rStyle w:val="Hyperlink"/>
                <w:rFonts w:ascii="Garamond" w:hAnsi="Garamond"/>
                <w:noProof/>
              </w:rPr>
              <w:t>Alternative Investments</w:t>
            </w:r>
            <w:r>
              <w:rPr>
                <w:noProof/>
                <w:webHidden/>
              </w:rPr>
              <w:tab/>
            </w:r>
            <w:r>
              <w:rPr>
                <w:noProof/>
                <w:webHidden/>
              </w:rPr>
              <w:fldChar w:fldCharType="begin"/>
            </w:r>
            <w:r>
              <w:rPr>
                <w:noProof/>
                <w:webHidden/>
              </w:rPr>
              <w:instrText xml:space="preserve"> PAGEREF _Toc7689743 \h </w:instrText>
            </w:r>
            <w:r>
              <w:rPr>
                <w:noProof/>
                <w:webHidden/>
              </w:rPr>
            </w:r>
            <w:r>
              <w:rPr>
                <w:noProof/>
                <w:webHidden/>
              </w:rPr>
              <w:fldChar w:fldCharType="separate"/>
            </w:r>
            <w:r w:rsidR="008F76E9">
              <w:rPr>
                <w:noProof/>
                <w:webHidden/>
              </w:rPr>
              <w:t>11</w:t>
            </w:r>
            <w:r>
              <w:rPr>
                <w:noProof/>
                <w:webHidden/>
              </w:rPr>
              <w:fldChar w:fldCharType="end"/>
            </w:r>
          </w:hyperlink>
        </w:p>
        <w:p w:rsidR="008A2F9F" w:rsidRDefault="008A2F9F">
          <w:pPr>
            <w:pStyle w:val="TOC2"/>
            <w:tabs>
              <w:tab w:val="right" w:leader="dot" w:pos="9350"/>
            </w:tabs>
            <w:rPr>
              <w:rFonts w:eastAsiaTheme="minorEastAsia"/>
              <w:noProof/>
            </w:rPr>
          </w:pPr>
          <w:hyperlink w:anchor="_Toc7689744" w:history="1">
            <w:r w:rsidRPr="005934C1">
              <w:rPr>
                <w:rStyle w:val="Hyperlink"/>
                <w:rFonts w:ascii="Garamond" w:hAnsi="Garamond"/>
                <w:noProof/>
              </w:rPr>
              <w:t>Cash and Equivalents</w:t>
            </w:r>
            <w:r>
              <w:rPr>
                <w:noProof/>
                <w:webHidden/>
              </w:rPr>
              <w:tab/>
            </w:r>
            <w:r>
              <w:rPr>
                <w:noProof/>
                <w:webHidden/>
              </w:rPr>
              <w:fldChar w:fldCharType="begin"/>
            </w:r>
            <w:r>
              <w:rPr>
                <w:noProof/>
                <w:webHidden/>
              </w:rPr>
              <w:instrText xml:space="preserve"> PAGEREF _Toc7689744 \h </w:instrText>
            </w:r>
            <w:r>
              <w:rPr>
                <w:noProof/>
                <w:webHidden/>
              </w:rPr>
            </w:r>
            <w:r>
              <w:rPr>
                <w:noProof/>
                <w:webHidden/>
              </w:rPr>
              <w:fldChar w:fldCharType="separate"/>
            </w:r>
            <w:r w:rsidR="008F76E9">
              <w:rPr>
                <w:noProof/>
                <w:webHidden/>
              </w:rPr>
              <w:t>12</w:t>
            </w:r>
            <w:r>
              <w:rPr>
                <w:noProof/>
                <w:webHidden/>
              </w:rPr>
              <w:fldChar w:fldCharType="end"/>
            </w:r>
          </w:hyperlink>
        </w:p>
        <w:p w:rsidR="008A2F9F" w:rsidRDefault="008A2F9F">
          <w:pPr>
            <w:pStyle w:val="TOC2"/>
            <w:tabs>
              <w:tab w:val="right" w:leader="dot" w:pos="9350"/>
            </w:tabs>
            <w:rPr>
              <w:rFonts w:eastAsiaTheme="minorEastAsia"/>
              <w:noProof/>
            </w:rPr>
          </w:pPr>
          <w:hyperlink w:anchor="_Toc7689745" w:history="1">
            <w:r w:rsidRPr="005934C1">
              <w:rPr>
                <w:rStyle w:val="Hyperlink"/>
                <w:rFonts w:ascii="Garamond" w:hAnsi="Garamond"/>
                <w:noProof/>
              </w:rPr>
              <w:t>Exclusions</w:t>
            </w:r>
            <w:r>
              <w:rPr>
                <w:noProof/>
                <w:webHidden/>
              </w:rPr>
              <w:tab/>
            </w:r>
            <w:r>
              <w:rPr>
                <w:noProof/>
                <w:webHidden/>
              </w:rPr>
              <w:fldChar w:fldCharType="begin"/>
            </w:r>
            <w:r>
              <w:rPr>
                <w:noProof/>
                <w:webHidden/>
              </w:rPr>
              <w:instrText xml:space="preserve"> PAGEREF _Toc7689745 \h </w:instrText>
            </w:r>
            <w:r>
              <w:rPr>
                <w:noProof/>
                <w:webHidden/>
              </w:rPr>
            </w:r>
            <w:r>
              <w:rPr>
                <w:noProof/>
                <w:webHidden/>
              </w:rPr>
              <w:fldChar w:fldCharType="separate"/>
            </w:r>
            <w:r w:rsidR="008F76E9">
              <w:rPr>
                <w:noProof/>
                <w:webHidden/>
              </w:rPr>
              <w:t>12</w:t>
            </w:r>
            <w:r>
              <w:rPr>
                <w:noProof/>
                <w:webHidden/>
              </w:rPr>
              <w:fldChar w:fldCharType="end"/>
            </w:r>
          </w:hyperlink>
        </w:p>
        <w:p w:rsidR="008A2F9F" w:rsidRDefault="008A2F9F">
          <w:pPr>
            <w:pStyle w:val="TOC1"/>
            <w:tabs>
              <w:tab w:val="left" w:pos="660"/>
              <w:tab w:val="right" w:leader="dot" w:pos="9350"/>
            </w:tabs>
            <w:rPr>
              <w:rFonts w:eastAsiaTheme="minorEastAsia"/>
              <w:noProof/>
            </w:rPr>
          </w:pPr>
          <w:hyperlink w:anchor="_Toc7689746" w:history="1">
            <w:r w:rsidRPr="005934C1">
              <w:rPr>
                <w:rStyle w:val="Hyperlink"/>
                <w:rFonts w:ascii="Garamond" w:hAnsi="Garamond"/>
                <w:noProof/>
              </w:rPr>
              <w:t>VII.</w:t>
            </w:r>
            <w:r>
              <w:rPr>
                <w:rFonts w:eastAsiaTheme="minorEastAsia"/>
                <w:noProof/>
              </w:rPr>
              <w:tab/>
            </w:r>
            <w:r w:rsidRPr="005934C1">
              <w:rPr>
                <w:rStyle w:val="Hyperlink"/>
                <w:rFonts w:ascii="Garamond" w:hAnsi="Garamond"/>
                <w:noProof/>
              </w:rPr>
              <w:t>Constraints</w:t>
            </w:r>
            <w:r>
              <w:rPr>
                <w:noProof/>
                <w:webHidden/>
              </w:rPr>
              <w:tab/>
            </w:r>
            <w:r>
              <w:rPr>
                <w:noProof/>
                <w:webHidden/>
              </w:rPr>
              <w:fldChar w:fldCharType="begin"/>
            </w:r>
            <w:r>
              <w:rPr>
                <w:noProof/>
                <w:webHidden/>
              </w:rPr>
              <w:instrText xml:space="preserve"> PAGEREF _Toc7689746 \h </w:instrText>
            </w:r>
            <w:r>
              <w:rPr>
                <w:noProof/>
                <w:webHidden/>
              </w:rPr>
            </w:r>
            <w:r>
              <w:rPr>
                <w:noProof/>
                <w:webHidden/>
              </w:rPr>
              <w:fldChar w:fldCharType="separate"/>
            </w:r>
            <w:r w:rsidR="008F76E9">
              <w:rPr>
                <w:noProof/>
                <w:webHidden/>
              </w:rPr>
              <w:t>12</w:t>
            </w:r>
            <w:r>
              <w:rPr>
                <w:noProof/>
                <w:webHidden/>
              </w:rPr>
              <w:fldChar w:fldCharType="end"/>
            </w:r>
          </w:hyperlink>
        </w:p>
        <w:p w:rsidR="008A2F9F" w:rsidRDefault="008A2F9F">
          <w:pPr>
            <w:pStyle w:val="TOC2"/>
            <w:tabs>
              <w:tab w:val="right" w:leader="dot" w:pos="9350"/>
            </w:tabs>
            <w:rPr>
              <w:rFonts w:eastAsiaTheme="minorEastAsia"/>
              <w:noProof/>
            </w:rPr>
          </w:pPr>
          <w:hyperlink w:anchor="_Toc7689747" w:history="1">
            <w:r w:rsidRPr="005934C1">
              <w:rPr>
                <w:rStyle w:val="Hyperlink"/>
                <w:rFonts w:ascii="Garamond" w:hAnsi="Garamond"/>
                <w:noProof/>
              </w:rPr>
              <w:t>Time Horizon</w:t>
            </w:r>
            <w:r>
              <w:rPr>
                <w:noProof/>
                <w:webHidden/>
              </w:rPr>
              <w:tab/>
            </w:r>
            <w:r>
              <w:rPr>
                <w:noProof/>
                <w:webHidden/>
              </w:rPr>
              <w:fldChar w:fldCharType="begin"/>
            </w:r>
            <w:r>
              <w:rPr>
                <w:noProof/>
                <w:webHidden/>
              </w:rPr>
              <w:instrText xml:space="preserve"> PAGEREF _Toc7689747 \h </w:instrText>
            </w:r>
            <w:r>
              <w:rPr>
                <w:noProof/>
                <w:webHidden/>
              </w:rPr>
            </w:r>
            <w:r>
              <w:rPr>
                <w:noProof/>
                <w:webHidden/>
              </w:rPr>
              <w:fldChar w:fldCharType="separate"/>
            </w:r>
            <w:r w:rsidR="008F76E9">
              <w:rPr>
                <w:noProof/>
                <w:webHidden/>
              </w:rPr>
              <w:t>12</w:t>
            </w:r>
            <w:r>
              <w:rPr>
                <w:noProof/>
                <w:webHidden/>
              </w:rPr>
              <w:fldChar w:fldCharType="end"/>
            </w:r>
          </w:hyperlink>
        </w:p>
        <w:p w:rsidR="008A2F9F" w:rsidRDefault="008A2F9F">
          <w:pPr>
            <w:pStyle w:val="TOC2"/>
            <w:tabs>
              <w:tab w:val="right" w:leader="dot" w:pos="9350"/>
            </w:tabs>
            <w:rPr>
              <w:rFonts w:eastAsiaTheme="minorEastAsia"/>
              <w:noProof/>
            </w:rPr>
          </w:pPr>
          <w:hyperlink w:anchor="_Toc7689748" w:history="1">
            <w:r w:rsidRPr="005934C1">
              <w:rPr>
                <w:rStyle w:val="Hyperlink"/>
                <w:rFonts w:ascii="Garamond" w:hAnsi="Garamond"/>
                <w:noProof/>
              </w:rPr>
              <w:t>Liquidity Requirements and Spending</w:t>
            </w:r>
            <w:r>
              <w:rPr>
                <w:noProof/>
                <w:webHidden/>
              </w:rPr>
              <w:tab/>
            </w:r>
            <w:r>
              <w:rPr>
                <w:noProof/>
                <w:webHidden/>
              </w:rPr>
              <w:fldChar w:fldCharType="begin"/>
            </w:r>
            <w:r>
              <w:rPr>
                <w:noProof/>
                <w:webHidden/>
              </w:rPr>
              <w:instrText xml:space="preserve"> PAGEREF _Toc7689748 \h </w:instrText>
            </w:r>
            <w:r>
              <w:rPr>
                <w:noProof/>
                <w:webHidden/>
              </w:rPr>
            </w:r>
            <w:r>
              <w:rPr>
                <w:noProof/>
                <w:webHidden/>
              </w:rPr>
              <w:fldChar w:fldCharType="separate"/>
            </w:r>
            <w:r w:rsidR="008F76E9">
              <w:rPr>
                <w:noProof/>
                <w:webHidden/>
              </w:rPr>
              <w:t>13</w:t>
            </w:r>
            <w:r>
              <w:rPr>
                <w:noProof/>
                <w:webHidden/>
              </w:rPr>
              <w:fldChar w:fldCharType="end"/>
            </w:r>
          </w:hyperlink>
        </w:p>
        <w:p w:rsidR="008A2F9F" w:rsidRDefault="008A2F9F">
          <w:pPr>
            <w:pStyle w:val="TOC2"/>
            <w:tabs>
              <w:tab w:val="right" w:leader="dot" w:pos="9350"/>
            </w:tabs>
            <w:rPr>
              <w:rFonts w:eastAsiaTheme="minorEastAsia"/>
              <w:noProof/>
            </w:rPr>
          </w:pPr>
          <w:hyperlink w:anchor="_Toc7689749" w:history="1">
            <w:r w:rsidRPr="005934C1">
              <w:rPr>
                <w:rStyle w:val="Hyperlink"/>
                <w:rFonts w:ascii="Garamond" w:hAnsi="Garamond"/>
                <w:noProof/>
              </w:rPr>
              <w:t>Tax, Legal / Regulatory and Unique Considerations</w:t>
            </w:r>
            <w:r>
              <w:rPr>
                <w:noProof/>
                <w:webHidden/>
              </w:rPr>
              <w:tab/>
            </w:r>
            <w:r>
              <w:rPr>
                <w:noProof/>
                <w:webHidden/>
              </w:rPr>
              <w:fldChar w:fldCharType="begin"/>
            </w:r>
            <w:r>
              <w:rPr>
                <w:noProof/>
                <w:webHidden/>
              </w:rPr>
              <w:instrText xml:space="preserve"> PAGEREF _Toc7689749 \h </w:instrText>
            </w:r>
            <w:r>
              <w:rPr>
                <w:noProof/>
                <w:webHidden/>
              </w:rPr>
            </w:r>
            <w:r>
              <w:rPr>
                <w:noProof/>
                <w:webHidden/>
              </w:rPr>
              <w:fldChar w:fldCharType="separate"/>
            </w:r>
            <w:r w:rsidR="008F76E9">
              <w:rPr>
                <w:noProof/>
                <w:webHidden/>
              </w:rPr>
              <w:t>13</w:t>
            </w:r>
            <w:r>
              <w:rPr>
                <w:noProof/>
                <w:webHidden/>
              </w:rPr>
              <w:fldChar w:fldCharType="end"/>
            </w:r>
          </w:hyperlink>
        </w:p>
        <w:p w:rsidR="008A2F9F" w:rsidRDefault="008A2F9F">
          <w:pPr>
            <w:pStyle w:val="TOC1"/>
            <w:tabs>
              <w:tab w:val="left" w:pos="660"/>
              <w:tab w:val="right" w:leader="dot" w:pos="9350"/>
            </w:tabs>
            <w:rPr>
              <w:rFonts w:eastAsiaTheme="minorEastAsia"/>
              <w:noProof/>
            </w:rPr>
          </w:pPr>
          <w:hyperlink w:anchor="_Toc7689750" w:history="1">
            <w:r w:rsidRPr="005934C1">
              <w:rPr>
                <w:rStyle w:val="Hyperlink"/>
                <w:rFonts w:ascii="Garamond" w:hAnsi="Garamond"/>
                <w:noProof/>
              </w:rPr>
              <w:t>VIII.</w:t>
            </w:r>
            <w:r>
              <w:rPr>
                <w:rFonts w:eastAsiaTheme="minorEastAsia"/>
                <w:noProof/>
              </w:rPr>
              <w:tab/>
            </w:r>
            <w:r w:rsidRPr="005934C1">
              <w:rPr>
                <w:rStyle w:val="Hyperlink"/>
                <w:rFonts w:ascii="Garamond" w:hAnsi="Garamond"/>
                <w:noProof/>
              </w:rPr>
              <w:t>Performance Evaluation</w:t>
            </w:r>
            <w:r>
              <w:rPr>
                <w:noProof/>
                <w:webHidden/>
              </w:rPr>
              <w:tab/>
            </w:r>
            <w:r>
              <w:rPr>
                <w:noProof/>
                <w:webHidden/>
              </w:rPr>
              <w:fldChar w:fldCharType="begin"/>
            </w:r>
            <w:r>
              <w:rPr>
                <w:noProof/>
                <w:webHidden/>
              </w:rPr>
              <w:instrText xml:space="preserve"> PAGEREF _Toc7689750 \h </w:instrText>
            </w:r>
            <w:r>
              <w:rPr>
                <w:noProof/>
                <w:webHidden/>
              </w:rPr>
            </w:r>
            <w:r>
              <w:rPr>
                <w:noProof/>
                <w:webHidden/>
              </w:rPr>
              <w:fldChar w:fldCharType="separate"/>
            </w:r>
            <w:r w:rsidR="008F76E9">
              <w:rPr>
                <w:noProof/>
                <w:webHidden/>
              </w:rPr>
              <w:t>13</w:t>
            </w:r>
            <w:r>
              <w:rPr>
                <w:noProof/>
                <w:webHidden/>
              </w:rPr>
              <w:fldChar w:fldCharType="end"/>
            </w:r>
          </w:hyperlink>
        </w:p>
        <w:p w:rsidR="008A2F9F" w:rsidRDefault="008A2F9F">
          <w:pPr>
            <w:pStyle w:val="TOC1"/>
            <w:tabs>
              <w:tab w:val="left" w:pos="660"/>
              <w:tab w:val="right" w:leader="dot" w:pos="9350"/>
            </w:tabs>
            <w:rPr>
              <w:rFonts w:eastAsiaTheme="minorEastAsia"/>
              <w:noProof/>
            </w:rPr>
          </w:pPr>
          <w:hyperlink w:anchor="_Toc7689751" w:history="1">
            <w:r w:rsidRPr="005934C1">
              <w:rPr>
                <w:rStyle w:val="Hyperlink"/>
                <w:rFonts w:ascii="Garamond" w:hAnsi="Garamond"/>
                <w:noProof/>
              </w:rPr>
              <w:t>IX.</w:t>
            </w:r>
            <w:r>
              <w:rPr>
                <w:rFonts w:eastAsiaTheme="minorEastAsia"/>
                <w:noProof/>
              </w:rPr>
              <w:tab/>
            </w:r>
            <w:r w:rsidRPr="005934C1">
              <w:rPr>
                <w:rStyle w:val="Hyperlink"/>
                <w:rFonts w:ascii="Garamond" w:hAnsi="Garamond"/>
                <w:noProof/>
              </w:rPr>
              <w:t>Guidelines for Corrective Action</w:t>
            </w:r>
            <w:r>
              <w:rPr>
                <w:noProof/>
                <w:webHidden/>
              </w:rPr>
              <w:tab/>
            </w:r>
            <w:r>
              <w:rPr>
                <w:noProof/>
                <w:webHidden/>
              </w:rPr>
              <w:fldChar w:fldCharType="begin"/>
            </w:r>
            <w:r>
              <w:rPr>
                <w:noProof/>
                <w:webHidden/>
              </w:rPr>
              <w:instrText xml:space="preserve"> PAGEREF _Toc7689751 \h </w:instrText>
            </w:r>
            <w:r>
              <w:rPr>
                <w:noProof/>
                <w:webHidden/>
              </w:rPr>
            </w:r>
            <w:r>
              <w:rPr>
                <w:noProof/>
                <w:webHidden/>
              </w:rPr>
              <w:fldChar w:fldCharType="separate"/>
            </w:r>
            <w:r w:rsidR="008F76E9">
              <w:rPr>
                <w:noProof/>
                <w:webHidden/>
              </w:rPr>
              <w:t>13</w:t>
            </w:r>
            <w:r>
              <w:rPr>
                <w:noProof/>
                <w:webHidden/>
              </w:rPr>
              <w:fldChar w:fldCharType="end"/>
            </w:r>
          </w:hyperlink>
        </w:p>
        <w:p w:rsidR="008A2F9F" w:rsidRDefault="008A2F9F">
          <w:pPr>
            <w:pStyle w:val="TOC2"/>
            <w:tabs>
              <w:tab w:val="right" w:leader="dot" w:pos="9350"/>
            </w:tabs>
            <w:rPr>
              <w:rFonts w:eastAsiaTheme="minorEastAsia"/>
              <w:noProof/>
            </w:rPr>
          </w:pPr>
          <w:hyperlink w:anchor="_Toc7689752" w:history="1">
            <w:r w:rsidRPr="005934C1">
              <w:rPr>
                <w:rStyle w:val="Hyperlink"/>
                <w:rFonts w:ascii="Garamond" w:hAnsi="Garamond"/>
                <w:noProof/>
              </w:rPr>
              <w:t>Investment Manager Watch List</w:t>
            </w:r>
            <w:r>
              <w:rPr>
                <w:noProof/>
                <w:webHidden/>
              </w:rPr>
              <w:tab/>
            </w:r>
            <w:r>
              <w:rPr>
                <w:noProof/>
                <w:webHidden/>
              </w:rPr>
              <w:fldChar w:fldCharType="begin"/>
            </w:r>
            <w:r>
              <w:rPr>
                <w:noProof/>
                <w:webHidden/>
              </w:rPr>
              <w:instrText xml:space="preserve"> PAGEREF _Toc7689752 \h </w:instrText>
            </w:r>
            <w:r>
              <w:rPr>
                <w:noProof/>
                <w:webHidden/>
              </w:rPr>
            </w:r>
            <w:r>
              <w:rPr>
                <w:noProof/>
                <w:webHidden/>
              </w:rPr>
              <w:fldChar w:fldCharType="separate"/>
            </w:r>
            <w:r w:rsidR="008F76E9">
              <w:rPr>
                <w:noProof/>
                <w:webHidden/>
              </w:rPr>
              <w:t>14</w:t>
            </w:r>
            <w:r>
              <w:rPr>
                <w:noProof/>
                <w:webHidden/>
              </w:rPr>
              <w:fldChar w:fldCharType="end"/>
            </w:r>
          </w:hyperlink>
        </w:p>
        <w:p w:rsidR="008A2F9F" w:rsidRDefault="008A2F9F">
          <w:pPr>
            <w:pStyle w:val="TOC1"/>
            <w:tabs>
              <w:tab w:val="left" w:pos="440"/>
              <w:tab w:val="right" w:leader="dot" w:pos="9350"/>
            </w:tabs>
            <w:rPr>
              <w:rFonts w:eastAsiaTheme="minorEastAsia"/>
              <w:noProof/>
            </w:rPr>
          </w:pPr>
          <w:hyperlink w:anchor="_Toc7689753" w:history="1">
            <w:r w:rsidRPr="005934C1">
              <w:rPr>
                <w:rStyle w:val="Hyperlink"/>
                <w:rFonts w:ascii="Garamond" w:hAnsi="Garamond"/>
                <w:noProof/>
              </w:rPr>
              <w:t>X.</w:t>
            </w:r>
            <w:r>
              <w:rPr>
                <w:rFonts w:eastAsiaTheme="minorEastAsia"/>
                <w:noProof/>
              </w:rPr>
              <w:tab/>
            </w:r>
            <w:r w:rsidRPr="005934C1">
              <w:rPr>
                <w:rStyle w:val="Hyperlink"/>
                <w:rFonts w:ascii="Garamond" w:hAnsi="Garamond"/>
                <w:noProof/>
              </w:rPr>
              <w:t>Meetings and Communications</w:t>
            </w:r>
            <w:r>
              <w:rPr>
                <w:noProof/>
                <w:webHidden/>
              </w:rPr>
              <w:tab/>
            </w:r>
            <w:r>
              <w:rPr>
                <w:noProof/>
                <w:webHidden/>
              </w:rPr>
              <w:fldChar w:fldCharType="begin"/>
            </w:r>
            <w:r>
              <w:rPr>
                <w:noProof/>
                <w:webHidden/>
              </w:rPr>
              <w:instrText xml:space="preserve"> PAGEREF _Toc7689753 \h </w:instrText>
            </w:r>
            <w:r>
              <w:rPr>
                <w:noProof/>
                <w:webHidden/>
              </w:rPr>
            </w:r>
            <w:r>
              <w:rPr>
                <w:noProof/>
                <w:webHidden/>
              </w:rPr>
              <w:fldChar w:fldCharType="separate"/>
            </w:r>
            <w:r w:rsidR="008F76E9">
              <w:rPr>
                <w:noProof/>
                <w:webHidden/>
              </w:rPr>
              <w:t>15</w:t>
            </w:r>
            <w:r>
              <w:rPr>
                <w:noProof/>
                <w:webHidden/>
              </w:rPr>
              <w:fldChar w:fldCharType="end"/>
            </w:r>
          </w:hyperlink>
        </w:p>
        <w:p w:rsidR="008A2F9F" w:rsidRDefault="008A2F9F">
          <w:pPr>
            <w:pStyle w:val="TOC1"/>
            <w:tabs>
              <w:tab w:val="left" w:pos="660"/>
              <w:tab w:val="right" w:leader="dot" w:pos="9350"/>
            </w:tabs>
            <w:rPr>
              <w:rFonts w:eastAsiaTheme="minorEastAsia"/>
              <w:noProof/>
            </w:rPr>
          </w:pPr>
          <w:hyperlink w:anchor="_Toc7689754" w:history="1">
            <w:r w:rsidRPr="005934C1">
              <w:rPr>
                <w:rStyle w:val="Hyperlink"/>
                <w:rFonts w:ascii="Garamond" w:hAnsi="Garamond"/>
                <w:noProof/>
              </w:rPr>
              <w:t>XI.</w:t>
            </w:r>
            <w:r>
              <w:rPr>
                <w:rFonts w:eastAsiaTheme="minorEastAsia"/>
                <w:noProof/>
              </w:rPr>
              <w:tab/>
            </w:r>
            <w:r w:rsidRPr="005934C1">
              <w:rPr>
                <w:rStyle w:val="Hyperlink"/>
                <w:rFonts w:ascii="Garamond" w:hAnsi="Garamond"/>
                <w:noProof/>
              </w:rPr>
              <w:t>Approval</w:t>
            </w:r>
            <w:r>
              <w:rPr>
                <w:noProof/>
                <w:webHidden/>
              </w:rPr>
              <w:tab/>
            </w:r>
            <w:r>
              <w:rPr>
                <w:noProof/>
                <w:webHidden/>
              </w:rPr>
              <w:fldChar w:fldCharType="begin"/>
            </w:r>
            <w:r>
              <w:rPr>
                <w:noProof/>
                <w:webHidden/>
              </w:rPr>
              <w:instrText xml:space="preserve"> PAGEREF _Toc7689754 \h </w:instrText>
            </w:r>
            <w:r>
              <w:rPr>
                <w:noProof/>
                <w:webHidden/>
              </w:rPr>
            </w:r>
            <w:r>
              <w:rPr>
                <w:noProof/>
                <w:webHidden/>
              </w:rPr>
              <w:fldChar w:fldCharType="separate"/>
            </w:r>
            <w:r w:rsidR="008F76E9">
              <w:rPr>
                <w:noProof/>
                <w:webHidden/>
              </w:rPr>
              <w:t>15</w:t>
            </w:r>
            <w:r>
              <w:rPr>
                <w:noProof/>
                <w:webHidden/>
              </w:rPr>
              <w:fldChar w:fldCharType="end"/>
            </w:r>
          </w:hyperlink>
        </w:p>
        <w:p w:rsidR="006F78A9" w:rsidRPr="00C66956" w:rsidRDefault="006F78A9">
          <w:pPr>
            <w:rPr>
              <w:rFonts w:ascii="Garamond" w:hAnsi="Garamond"/>
            </w:rPr>
          </w:pPr>
          <w:r w:rsidRPr="00C66956">
            <w:rPr>
              <w:rFonts w:ascii="Garamond" w:hAnsi="Garamond"/>
              <w:b/>
              <w:bCs/>
              <w:noProof/>
            </w:rPr>
            <w:fldChar w:fldCharType="end"/>
          </w:r>
        </w:p>
      </w:sdtContent>
    </w:sdt>
    <w:p w:rsidR="004229FE" w:rsidRPr="00C66956" w:rsidRDefault="004229FE" w:rsidP="004229FE">
      <w:pPr>
        <w:spacing w:after="0"/>
        <w:rPr>
          <w:rFonts w:ascii="Garamond" w:hAnsi="Garamond" w:cs="Times New Roman"/>
          <w:b/>
        </w:rPr>
      </w:pPr>
      <w:bookmarkStart w:id="0" w:name="_GoBack"/>
      <w:bookmarkEnd w:id="0"/>
    </w:p>
    <w:p w:rsidR="004229FE" w:rsidRPr="00C66956" w:rsidRDefault="004229FE" w:rsidP="004229FE">
      <w:pPr>
        <w:spacing w:after="0"/>
        <w:rPr>
          <w:rFonts w:ascii="Garamond" w:hAnsi="Garamond" w:cs="Times New Roman"/>
        </w:rPr>
      </w:pPr>
      <w:r w:rsidRPr="00C66956">
        <w:rPr>
          <w:rFonts w:ascii="Garamond" w:hAnsi="Garamond" w:cs="Times New Roman"/>
        </w:rPr>
        <w:br w:type="page"/>
      </w:r>
    </w:p>
    <w:p w:rsidR="004229FE" w:rsidRPr="00C66956" w:rsidRDefault="004229FE" w:rsidP="006F78A9">
      <w:pPr>
        <w:pStyle w:val="Heading1"/>
        <w:numPr>
          <w:ilvl w:val="0"/>
          <w:numId w:val="16"/>
        </w:numPr>
        <w:rPr>
          <w:rFonts w:ascii="Garamond" w:hAnsi="Garamond"/>
        </w:rPr>
      </w:pPr>
      <w:bookmarkStart w:id="1" w:name="_Toc7689719"/>
      <w:r w:rsidRPr="00C66956">
        <w:rPr>
          <w:rFonts w:ascii="Garamond" w:hAnsi="Garamond"/>
        </w:rPr>
        <w:lastRenderedPageBreak/>
        <w:t>Introduction</w:t>
      </w:r>
      <w:bookmarkEnd w:id="1"/>
    </w:p>
    <w:p w:rsidR="004229FE" w:rsidRPr="00C66956" w:rsidRDefault="004229FE" w:rsidP="004229FE">
      <w:pPr>
        <w:spacing w:after="0"/>
        <w:ind w:left="360"/>
        <w:rPr>
          <w:rFonts w:ascii="Garamond" w:hAnsi="Garamond" w:cs="Times New Roman"/>
        </w:rPr>
      </w:pPr>
    </w:p>
    <w:p w:rsidR="004229FE" w:rsidRPr="00C66956" w:rsidRDefault="004229FE" w:rsidP="00242159">
      <w:pPr>
        <w:spacing w:after="0"/>
        <w:rPr>
          <w:rFonts w:ascii="Garamond" w:hAnsi="Garamond" w:cs="Times New Roman"/>
        </w:rPr>
      </w:pPr>
      <w:r w:rsidRPr="00C66956">
        <w:rPr>
          <w:rFonts w:ascii="Garamond" w:hAnsi="Garamond" w:cs="Times New Roman"/>
        </w:rPr>
        <w:t>Information about the Plan and the Purpose of the Funds</w:t>
      </w:r>
    </w:p>
    <w:p w:rsidR="003373D6" w:rsidRPr="00C66956" w:rsidRDefault="003373D6" w:rsidP="00242159">
      <w:pPr>
        <w:spacing w:after="0"/>
        <w:rPr>
          <w:rFonts w:ascii="Garamond" w:hAnsi="Garamond" w:cs="Times New Roman"/>
        </w:rPr>
      </w:pPr>
    </w:p>
    <w:p w:rsidR="004229FE" w:rsidRPr="00C66956" w:rsidRDefault="004229FE" w:rsidP="003373D6">
      <w:pPr>
        <w:spacing w:after="0"/>
        <w:ind w:left="360"/>
        <w:rPr>
          <w:rFonts w:ascii="Garamond" w:hAnsi="Garamond" w:cs="Times New Roman"/>
        </w:rPr>
      </w:pPr>
      <w:r w:rsidRPr="00C66956">
        <w:rPr>
          <w:rFonts w:ascii="Garamond" w:hAnsi="Garamond" w:cs="Times New Roman"/>
        </w:rPr>
        <w:t>Town of Old Saybrook</w:t>
      </w:r>
    </w:p>
    <w:p w:rsidR="004229FE" w:rsidRPr="00C66956" w:rsidRDefault="004229FE" w:rsidP="003373D6">
      <w:pPr>
        <w:spacing w:after="0"/>
        <w:ind w:left="360"/>
        <w:rPr>
          <w:rFonts w:ascii="Garamond" w:hAnsi="Garamond" w:cs="Times New Roman"/>
        </w:rPr>
      </w:pPr>
      <w:r w:rsidRPr="00C66956">
        <w:rPr>
          <w:rFonts w:ascii="Garamond" w:hAnsi="Garamond" w:cs="Times New Roman"/>
        </w:rPr>
        <w:t>302 Main Street</w:t>
      </w:r>
    </w:p>
    <w:p w:rsidR="004229FE" w:rsidRPr="00C66956" w:rsidRDefault="004229FE" w:rsidP="003373D6">
      <w:pPr>
        <w:spacing w:after="0"/>
        <w:ind w:left="360"/>
        <w:rPr>
          <w:rFonts w:ascii="Garamond" w:hAnsi="Garamond" w:cs="Times New Roman"/>
        </w:rPr>
      </w:pPr>
      <w:r w:rsidRPr="00C66956">
        <w:rPr>
          <w:rFonts w:ascii="Garamond" w:hAnsi="Garamond" w:cs="Times New Roman"/>
        </w:rPr>
        <w:t>Old Saybrook, CT 06475-2384</w:t>
      </w:r>
    </w:p>
    <w:p w:rsidR="004229FE" w:rsidRPr="00C66956" w:rsidRDefault="004229FE" w:rsidP="003373D6">
      <w:pPr>
        <w:spacing w:after="0"/>
        <w:ind w:left="360"/>
        <w:rPr>
          <w:rFonts w:ascii="Garamond" w:hAnsi="Garamond" w:cs="Times New Roman"/>
        </w:rPr>
      </w:pPr>
      <w:r w:rsidRPr="00C66956">
        <w:rPr>
          <w:rFonts w:ascii="Garamond" w:hAnsi="Garamond" w:cs="Times New Roman"/>
        </w:rPr>
        <w:t>(860) 395-3127</w:t>
      </w:r>
    </w:p>
    <w:p w:rsidR="003373D6" w:rsidRPr="00C66956" w:rsidRDefault="003373D6" w:rsidP="003373D6">
      <w:pPr>
        <w:spacing w:after="0"/>
        <w:ind w:left="360"/>
        <w:rPr>
          <w:rFonts w:ascii="Garamond" w:hAnsi="Garamond" w:cs="Times New Roman"/>
        </w:rPr>
      </w:pPr>
    </w:p>
    <w:p w:rsidR="004229FE" w:rsidRPr="00C66956" w:rsidRDefault="004229FE" w:rsidP="00242159">
      <w:pPr>
        <w:spacing w:after="0"/>
        <w:rPr>
          <w:rFonts w:ascii="Garamond" w:hAnsi="Garamond" w:cs="Times New Roman"/>
        </w:rPr>
      </w:pPr>
      <w:r w:rsidRPr="00C66956">
        <w:rPr>
          <w:rFonts w:ascii="Garamond" w:hAnsi="Garamond" w:cs="Times New Roman"/>
        </w:rPr>
        <w:t>Primary Contact: The Plan Administrator of the Old Saybrook Pension and Benefits Board</w:t>
      </w:r>
    </w:p>
    <w:p w:rsidR="004229FE" w:rsidRPr="00C66956" w:rsidRDefault="004229FE" w:rsidP="004229FE">
      <w:pPr>
        <w:spacing w:after="0"/>
        <w:ind w:left="360"/>
        <w:rPr>
          <w:rFonts w:ascii="Garamond" w:hAnsi="Garamond" w:cs="Times New Roman"/>
        </w:rPr>
      </w:pPr>
    </w:p>
    <w:p w:rsidR="004229FE" w:rsidRPr="00C66956" w:rsidRDefault="004229FE" w:rsidP="006F78A9">
      <w:pPr>
        <w:pStyle w:val="Heading2"/>
        <w:rPr>
          <w:rFonts w:ascii="Garamond" w:hAnsi="Garamond"/>
        </w:rPr>
      </w:pPr>
      <w:bookmarkStart w:id="2" w:name="_Toc7689720"/>
      <w:r w:rsidRPr="00C66956">
        <w:rPr>
          <w:rFonts w:ascii="Garamond" w:hAnsi="Garamond"/>
        </w:rPr>
        <w:t>About Town of Old Saybrook</w:t>
      </w:r>
      <w:bookmarkEnd w:id="2"/>
    </w:p>
    <w:p w:rsidR="004229FE" w:rsidRPr="00C66956" w:rsidRDefault="004229FE" w:rsidP="00242159">
      <w:pPr>
        <w:spacing w:after="0"/>
        <w:rPr>
          <w:rFonts w:ascii="Garamond" w:hAnsi="Garamond" w:cs="Times New Roman"/>
        </w:rPr>
      </w:pPr>
      <w:r w:rsidRPr="00C66956">
        <w:rPr>
          <w:rFonts w:ascii="Garamond" w:hAnsi="Garamond" w:cs="Times New Roman"/>
        </w:rPr>
        <w:t>The Town of Old Saybrook maintains two Defined Benefit P</w:t>
      </w:r>
      <w:r w:rsidR="00C53B10">
        <w:rPr>
          <w:rFonts w:ascii="Garamond" w:hAnsi="Garamond" w:cs="Times New Roman"/>
        </w:rPr>
        <w:t>lans. The Plans’ sponsor is a m</w:t>
      </w:r>
      <w:r w:rsidRPr="00C66956">
        <w:rPr>
          <w:rFonts w:ascii="Garamond" w:hAnsi="Garamond" w:cs="Times New Roman"/>
        </w:rPr>
        <w:t>unicipality. Both plans shall be simil</w:t>
      </w:r>
      <w:r w:rsidR="006845D9" w:rsidRPr="00C66956">
        <w:rPr>
          <w:rFonts w:ascii="Garamond" w:hAnsi="Garamond" w:cs="Times New Roman"/>
        </w:rPr>
        <w:t>arly managed, unless otherwise stated in this Investment Policy Statement (“I</w:t>
      </w:r>
      <w:r w:rsidR="00216C6E">
        <w:rPr>
          <w:rFonts w:ascii="Garamond" w:hAnsi="Garamond" w:cs="Times New Roman"/>
        </w:rPr>
        <w:t>PS”). The original plan</w:t>
      </w:r>
      <w:r w:rsidR="006845D9" w:rsidRPr="00C66956">
        <w:rPr>
          <w:rFonts w:ascii="Garamond" w:hAnsi="Garamond" w:cs="Times New Roman"/>
        </w:rPr>
        <w:t xml:space="preserve"> </w:t>
      </w:r>
      <w:r w:rsidR="00216C6E">
        <w:rPr>
          <w:rFonts w:ascii="Garamond" w:hAnsi="Garamond" w:cs="Times New Roman"/>
        </w:rPr>
        <w:t xml:space="preserve">for </w:t>
      </w:r>
      <w:r w:rsidR="006845D9" w:rsidRPr="00C66956">
        <w:rPr>
          <w:rFonts w:ascii="Garamond" w:hAnsi="Garamond" w:cs="Times New Roman"/>
        </w:rPr>
        <w:t xml:space="preserve">the Town was founded 1/1/1969 </w:t>
      </w:r>
      <w:r w:rsidR="00216C6E" w:rsidRPr="00C66956">
        <w:rPr>
          <w:rFonts w:ascii="Garamond" w:hAnsi="Garamond" w:cs="Times New Roman"/>
        </w:rPr>
        <w:t>and</w:t>
      </w:r>
      <w:r w:rsidR="00216C6E">
        <w:rPr>
          <w:rFonts w:ascii="Garamond" w:hAnsi="Garamond" w:cs="Times New Roman"/>
        </w:rPr>
        <w:t xml:space="preserve"> the</w:t>
      </w:r>
      <w:r w:rsidR="00216C6E" w:rsidRPr="00C66956">
        <w:rPr>
          <w:rFonts w:ascii="Garamond" w:hAnsi="Garamond" w:cs="Times New Roman"/>
        </w:rPr>
        <w:t xml:space="preserve"> Fire</w:t>
      </w:r>
      <w:r w:rsidR="00216C6E">
        <w:rPr>
          <w:rFonts w:ascii="Garamond" w:hAnsi="Garamond" w:cs="Times New Roman"/>
        </w:rPr>
        <w:t xml:space="preserve"> Plan in 1993.  These plans were originally co-mingled and </w:t>
      </w:r>
      <w:r w:rsidR="006845D9" w:rsidRPr="00C66956">
        <w:rPr>
          <w:rFonts w:ascii="Garamond" w:hAnsi="Garamond" w:cs="Times New Roman"/>
        </w:rPr>
        <w:t>separated into two plans during Fiscal Year 201</w:t>
      </w:r>
      <w:r w:rsidR="00C53B10">
        <w:rPr>
          <w:rFonts w:ascii="Garamond" w:hAnsi="Garamond" w:cs="Times New Roman"/>
        </w:rPr>
        <w:t>7. The fiduciary of the Town’s retirement p</w:t>
      </w:r>
      <w:r w:rsidR="006845D9" w:rsidRPr="00C66956">
        <w:rPr>
          <w:rFonts w:ascii="Garamond" w:hAnsi="Garamond" w:cs="Times New Roman"/>
        </w:rPr>
        <w:t>lans is the Town of Old Sayb</w:t>
      </w:r>
      <w:r w:rsidR="00C53B10">
        <w:rPr>
          <w:rFonts w:ascii="Garamond" w:hAnsi="Garamond" w:cs="Times New Roman"/>
        </w:rPr>
        <w:t>rook Board of Selectmen, which is</w:t>
      </w:r>
      <w:r w:rsidR="006845D9" w:rsidRPr="00C66956">
        <w:rPr>
          <w:rFonts w:ascii="Garamond" w:hAnsi="Garamond" w:cs="Times New Roman"/>
        </w:rPr>
        <w:t xml:space="preserve"> advised by the Town’s Pension and Benefits Board (“the PBB”). The PBB may hire an actuary and investment advisor to provide consultation and make investment deci</w:t>
      </w:r>
      <w:r w:rsidR="00C53B10">
        <w:rPr>
          <w:rFonts w:ascii="Garamond" w:hAnsi="Garamond" w:cs="Times New Roman"/>
        </w:rPr>
        <w:t>sions on the management of the P</w:t>
      </w:r>
      <w:r w:rsidR="006845D9" w:rsidRPr="00C66956">
        <w:rPr>
          <w:rFonts w:ascii="Garamond" w:hAnsi="Garamond" w:cs="Times New Roman"/>
        </w:rPr>
        <w:t>lan</w:t>
      </w:r>
      <w:r w:rsidR="00C53B10">
        <w:rPr>
          <w:rFonts w:ascii="Garamond" w:hAnsi="Garamond" w:cs="Times New Roman"/>
        </w:rPr>
        <w:t>s’</w:t>
      </w:r>
      <w:r w:rsidR="006845D9" w:rsidRPr="00C66956">
        <w:rPr>
          <w:rFonts w:ascii="Garamond" w:hAnsi="Garamond" w:cs="Times New Roman"/>
        </w:rPr>
        <w:t xml:space="preserve"> assets as outlined in </w:t>
      </w:r>
      <w:r w:rsidR="003373D6" w:rsidRPr="00C66956">
        <w:rPr>
          <w:rFonts w:ascii="Garamond" w:hAnsi="Garamond" w:cs="Times New Roman"/>
        </w:rPr>
        <w:t>this IPS</w:t>
      </w:r>
      <w:r w:rsidR="006845D9" w:rsidRPr="00C66956">
        <w:rPr>
          <w:rFonts w:ascii="Garamond" w:hAnsi="Garamond" w:cs="Times New Roman"/>
        </w:rPr>
        <w:t>.</w:t>
      </w:r>
    </w:p>
    <w:p w:rsidR="006845D9" w:rsidRPr="00C66956" w:rsidRDefault="006845D9" w:rsidP="004229FE">
      <w:pPr>
        <w:spacing w:after="0"/>
        <w:ind w:left="360"/>
        <w:rPr>
          <w:rFonts w:ascii="Garamond" w:hAnsi="Garamond" w:cs="Times New Roman"/>
        </w:rPr>
      </w:pPr>
    </w:p>
    <w:p w:rsidR="006845D9" w:rsidRPr="00C66956" w:rsidRDefault="006845D9" w:rsidP="006F78A9">
      <w:pPr>
        <w:pStyle w:val="Heading2"/>
        <w:rPr>
          <w:rFonts w:ascii="Garamond" w:hAnsi="Garamond"/>
        </w:rPr>
      </w:pPr>
      <w:bookmarkStart w:id="3" w:name="_Toc7689721"/>
      <w:r w:rsidRPr="00C66956">
        <w:rPr>
          <w:rFonts w:ascii="Garamond" w:hAnsi="Garamond"/>
        </w:rPr>
        <w:t>Purpose of this Investment Policy Statement</w:t>
      </w:r>
      <w:bookmarkEnd w:id="3"/>
    </w:p>
    <w:p w:rsidR="006845D9" w:rsidRPr="00C66956" w:rsidRDefault="003373D6" w:rsidP="00400E39">
      <w:pPr>
        <w:spacing w:after="0"/>
        <w:rPr>
          <w:rFonts w:ascii="Garamond" w:hAnsi="Garamond" w:cs="Times New Roman"/>
        </w:rPr>
      </w:pPr>
      <w:r w:rsidRPr="00C66956">
        <w:rPr>
          <w:rFonts w:ascii="Garamond" w:hAnsi="Garamond" w:cs="Times New Roman"/>
        </w:rPr>
        <w:t>The IPS</w:t>
      </w:r>
      <w:r w:rsidR="006845D9" w:rsidRPr="00C66956">
        <w:rPr>
          <w:rFonts w:ascii="Garamond" w:hAnsi="Garamond" w:cs="Times New Roman"/>
        </w:rPr>
        <w:t xml:space="preserve"> outlines the goals and investment objectives of Town of Old Saybrook Defined Benefit Plans (“the Plans”). Since this IPS is intended to provide guidance for the PBB and the investment managers responsible for managing the </w:t>
      </w:r>
      <w:r w:rsidRPr="00C66956">
        <w:rPr>
          <w:rFonts w:ascii="Garamond" w:hAnsi="Garamond" w:cs="Times New Roman"/>
        </w:rPr>
        <w:t>Plans’</w:t>
      </w:r>
      <w:r w:rsidR="006845D9" w:rsidRPr="00C66956">
        <w:rPr>
          <w:rFonts w:ascii="Garamond" w:hAnsi="Garamond" w:cs="Times New Roman"/>
        </w:rPr>
        <w:t xml:space="preserve"> assets, it outlines certain specific investment policies which will govern how to seek to achieve those goals and objectives. This IPS, upon the </w:t>
      </w:r>
      <w:r w:rsidR="00400E39">
        <w:rPr>
          <w:rFonts w:ascii="Garamond" w:hAnsi="Garamond" w:cs="Times New Roman"/>
        </w:rPr>
        <w:t>review and approval of the PBB:</w:t>
      </w:r>
    </w:p>
    <w:p w:rsidR="006845D9" w:rsidRPr="00C66956" w:rsidRDefault="006845D9" w:rsidP="006845D9">
      <w:pPr>
        <w:pStyle w:val="ListParagraph"/>
        <w:numPr>
          <w:ilvl w:val="0"/>
          <w:numId w:val="2"/>
        </w:numPr>
        <w:spacing w:after="0"/>
        <w:rPr>
          <w:rFonts w:ascii="Garamond" w:hAnsi="Garamond" w:cs="Times New Roman"/>
        </w:rPr>
      </w:pPr>
      <w:r w:rsidRPr="00C66956">
        <w:rPr>
          <w:rFonts w:ascii="Garamond" w:hAnsi="Garamond" w:cs="Times New Roman"/>
        </w:rPr>
        <w:t>Describes a risk posture for the investment of the Plans’ assets;</w:t>
      </w:r>
    </w:p>
    <w:p w:rsidR="006845D9" w:rsidRPr="00C66956" w:rsidRDefault="006845D9" w:rsidP="006845D9">
      <w:pPr>
        <w:pStyle w:val="ListParagraph"/>
        <w:numPr>
          <w:ilvl w:val="0"/>
          <w:numId w:val="2"/>
        </w:numPr>
        <w:spacing w:after="0"/>
        <w:rPr>
          <w:rFonts w:ascii="Garamond" w:hAnsi="Garamond" w:cs="Times New Roman"/>
        </w:rPr>
      </w:pPr>
      <w:r w:rsidRPr="00C66956">
        <w:rPr>
          <w:rFonts w:ascii="Garamond" w:hAnsi="Garamond" w:cs="Times New Roman"/>
        </w:rPr>
        <w:t>Specifies the target asset allocation policy for those assets;</w:t>
      </w:r>
    </w:p>
    <w:p w:rsidR="006845D9" w:rsidRPr="00C66956" w:rsidRDefault="006845D9" w:rsidP="006845D9">
      <w:pPr>
        <w:pStyle w:val="ListParagraph"/>
        <w:numPr>
          <w:ilvl w:val="0"/>
          <w:numId w:val="2"/>
        </w:numPr>
        <w:spacing w:after="0"/>
        <w:rPr>
          <w:rFonts w:ascii="Garamond" w:hAnsi="Garamond" w:cs="Times New Roman"/>
        </w:rPr>
      </w:pPr>
      <w:r w:rsidRPr="00C66956">
        <w:rPr>
          <w:rFonts w:ascii="Garamond" w:hAnsi="Garamond" w:cs="Times New Roman"/>
        </w:rPr>
        <w:t>Establishes investment guidelines regarding the selection of investment manager(s), permissible securities and diversification of assets;</w:t>
      </w:r>
    </w:p>
    <w:p w:rsidR="006845D9" w:rsidRPr="00C66956" w:rsidRDefault="006845D9" w:rsidP="006845D9">
      <w:pPr>
        <w:pStyle w:val="ListParagraph"/>
        <w:numPr>
          <w:ilvl w:val="0"/>
          <w:numId w:val="2"/>
        </w:numPr>
        <w:spacing w:after="0"/>
        <w:rPr>
          <w:rFonts w:ascii="Garamond" w:hAnsi="Garamond" w:cs="Times New Roman"/>
        </w:rPr>
      </w:pPr>
      <w:r w:rsidRPr="00C66956">
        <w:rPr>
          <w:rFonts w:ascii="Garamond" w:hAnsi="Garamond" w:cs="Times New Roman"/>
        </w:rPr>
        <w:t>Specifies the criteria for evaluating the performance of the Plan’s inves</w:t>
      </w:r>
      <w:r w:rsidR="003D5BE9" w:rsidRPr="00C66956">
        <w:rPr>
          <w:rFonts w:ascii="Garamond" w:hAnsi="Garamond" w:cs="Times New Roman"/>
        </w:rPr>
        <w:t>tment manager(s) and of the Plans</w:t>
      </w:r>
      <w:r w:rsidR="00C53B10">
        <w:rPr>
          <w:rFonts w:ascii="Garamond" w:hAnsi="Garamond" w:cs="Times New Roman"/>
        </w:rPr>
        <w:t>’</w:t>
      </w:r>
      <w:r w:rsidR="003D5BE9" w:rsidRPr="00C66956">
        <w:rPr>
          <w:rFonts w:ascii="Garamond" w:hAnsi="Garamond" w:cs="Times New Roman"/>
        </w:rPr>
        <w:t xml:space="preserve"> investment portfolio as a whole; and</w:t>
      </w:r>
    </w:p>
    <w:p w:rsidR="003D5BE9" w:rsidRPr="00C66956" w:rsidRDefault="003D5BE9" w:rsidP="006845D9">
      <w:pPr>
        <w:pStyle w:val="ListParagraph"/>
        <w:numPr>
          <w:ilvl w:val="0"/>
          <w:numId w:val="2"/>
        </w:numPr>
        <w:spacing w:after="0"/>
        <w:rPr>
          <w:rFonts w:ascii="Garamond" w:hAnsi="Garamond" w:cs="Times New Roman"/>
        </w:rPr>
      </w:pPr>
      <w:r w:rsidRPr="00C66956">
        <w:rPr>
          <w:rFonts w:ascii="Garamond" w:hAnsi="Garamond" w:cs="Times New Roman"/>
        </w:rPr>
        <w:t>Defines certa</w:t>
      </w:r>
      <w:r w:rsidR="003373D6" w:rsidRPr="00C66956">
        <w:rPr>
          <w:rFonts w:ascii="Garamond" w:hAnsi="Garamond" w:cs="Times New Roman"/>
        </w:rPr>
        <w:t>in responsibilities of the PBB</w:t>
      </w:r>
      <w:r w:rsidRPr="00C66956">
        <w:rPr>
          <w:rFonts w:ascii="Garamond" w:hAnsi="Garamond" w:cs="Times New Roman"/>
        </w:rPr>
        <w:t>, the investment advisor, the investment managers, and other specified parties.</w:t>
      </w:r>
    </w:p>
    <w:p w:rsidR="003D5BE9" w:rsidRPr="00C66956" w:rsidRDefault="003D5BE9" w:rsidP="003D5BE9">
      <w:pPr>
        <w:spacing w:after="0"/>
        <w:rPr>
          <w:rFonts w:ascii="Garamond" w:hAnsi="Garamond" w:cs="Times New Roman"/>
        </w:rPr>
      </w:pPr>
    </w:p>
    <w:p w:rsidR="003D5BE9" w:rsidRPr="00C66956" w:rsidRDefault="003D5BE9" w:rsidP="003D5BE9">
      <w:pPr>
        <w:spacing w:after="0"/>
        <w:rPr>
          <w:rFonts w:ascii="Garamond" w:hAnsi="Garamond" w:cs="Times New Roman"/>
        </w:rPr>
      </w:pPr>
      <w:r w:rsidRPr="00C66956">
        <w:rPr>
          <w:rFonts w:ascii="Garamond" w:hAnsi="Garamond" w:cs="Times New Roman"/>
        </w:rPr>
        <w:t>The PBB believes that the investment policies de</w:t>
      </w:r>
      <w:r w:rsidR="003373D6" w:rsidRPr="00C66956">
        <w:rPr>
          <w:rFonts w:ascii="Garamond" w:hAnsi="Garamond" w:cs="Times New Roman"/>
        </w:rPr>
        <w:t>scribed in this IPS</w:t>
      </w:r>
      <w:r w:rsidRPr="00C66956">
        <w:rPr>
          <w:rFonts w:ascii="Garamond" w:hAnsi="Garamond" w:cs="Times New Roman"/>
        </w:rPr>
        <w:t xml:space="preserve"> should be dynamic. These policies should reflect the </w:t>
      </w:r>
      <w:r w:rsidR="003373D6" w:rsidRPr="00C66956">
        <w:rPr>
          <w:rFonts w:ascii="Garamond" w:hAnsi="Garamond" w:cs="Times New Roman"/>
        </w:rPr>
        <w:t>Plans’</w:t>
      </w:r>
      <w:r w:rsidRPr="00C66956">
        <w:rPr>
          <w:rFonts w:ascii="Garamond" w:hAnsi="Garamond" w:cs="Times New Roman"/>
        </w:rPr>
        <w:t xml:space="preserve"> current financial status, and the PBB’s philosophy regarding the investment of assets. These policies should be reviewed by the PBB periodically and revised as necessa</w:t>
      </w:r>
      <w:r w:rsidR="00C53B10">
        <w:rPr>
          <w:rFonts w:ascii="Garamond" w:hAnsi="Garamond" w:cs="Times New Roman"/>
        </w:rPr>
        <w:t>ry to ensure that they continue</w:t>
      </w:r>
      <w:r w:rsidRPr="00C66956">
        <w:rPr>
          <w:rFonts w:ascii="Garamond" w:hAnsi="Garamond" w:cs="Times New Roman"/>
        </w:rPr>
        <w:t xml:space="preserve"> to reflect the current financial situation</w:t>
      </w:r>
      <w:r w:rsidR="00242159" w:rsidRPr="00C66956">
        <w:rPr>
          <w:rFonts w:ascii="Garamond" w:hAnsi="Garamond" w:cs="Times New Roman"/>
        </w:rPr>
        <w:t xml:space="preserve"> of the Defined Benefit Plan and the capital markets.</w:t>
      </w:r>
    </w:p>
    <w:p w:rsidR="00242159" w:rsidRPr="00C66956" w:rsidRDefault="00242159" w:rsidP="003D5BE9">
      <w:pPr>
        <w:spacing w:after="0"/>
        <w:rPr>
          <w:rFonts w:ascii="Garamond" w:hAnsi="Garamond" w:cs="Times New Roman"/>
        </w:rPr>
      </w:pPr>
    </w:p>
    <w:p w:rsidR="00242159" w:rsidRPr="00C66956" w:rsidRDefault="003373D6" w:rsidP="003D5BE9">
      <w:pPr>
        <w:spacing w:after="0"/>
        <w:rPr>
          <w:rFonts w:ascii="Garamond" w:hAnsi="Garamond" w:cs="Times New Roman"/>
        </w:rPr>
      </w:pPr>
      <w:r w:rsidRPr="00C66956">
        <w:rPr>
          <w:rFonts w:ascii="Garamond" w:hAnsi="Garamond" w:cs="Times New Roman"/>
        </w:rPr>
        <w:t>The IPS is approved by the Board of Selectmen. I</w:t>
      </w:r>
      <w:r w:rsidR="00242159" w:rsidRPr="00C66956">
        <w:rPr>
          <w:rFonts w:ascii="Garamond" w:hAnsi="Garamond" w:cs="Times New Roman"/>
        </w:rPr>
        <w:t>t is</w:t>
      </w:r>
      <w:r w:rsidRPr="00C66956">
        <w:rPr>
          <w:rFonts w:ascii="Garamond" w:hAnsi="Garamond" w:cs="Times New Roman"/>
        </w:rPr>
        <w:t xml:space="preserve"> the responsibility of the PBB</w:t>
      </w:r>
      <w:r w:rsidR="00242159" w:rsidRPr="00C66956">
        <w:rPr>
          <w:rFonts w:ascii="Garamond" w:hAnsi="Garamond" w:cs="Times New Roman"/>
        </w:rPr>
        <w:t xml:space="preserve"> to oversee and ensure that it is properly implemented. </w:t>
      </w:r>
    </w:p>
    <w:p w:rsidR="00242159" w:rsidRPr="00C66956" w:rsidRDefault="00242159" w:rsidP="003D5BE9">
      <w:pPr>
        <w:spacing w:after="0"/>
        <w:rPr>
          <w:rFonts w:ascii="Garamond" w:hAnsi="Garamond" w:cs="Times New Roman"/>
        </w:rPr>
      </w:pPr>
    </w:p>
    <w:p w:rsidR="00242159" w:rsidRPr="00C66956" w:rsidRDefault="00242159" w:rsidP="006F78A9">
      <w:pPr>
        <w:pStyle w:val="Heading1"/>
        <w:numPr>
          <w:ilvl w:val="0"/>
          <w:numId w:val="16"/>
        </w:numPr>
        <w:rPr>
          <w:rFonts w:ascii="Garamond" w:hAnsi="Garamond"/>
        </w:rPr>
      </w:pPr>
      <w:bookmarkStart w:id="4" w:name="_Toc7689722"/>
      <w:r w:rsidRPr="00C66956">
        <w:rPr>
          <w:rFonts w:ascii="Garamond" w:hAnsi="Garamond"/>
        </w:rPr>
        <w:lastRenderedPageBreak/>
        <w:t>Responsibilities of the Plan Fiduciary</w:t>
      </w:r>
      <w:bookmarkEnd w:id="4"/>
    </w:p>
    <w:p w:rsidR="00242159" w:rsidRPr="00C66956" w:rsidRDefault="00242159" w:rsidP="00242159">
      <w:pPr>
        <w:spacing w:after="0"/>
        <w:rPr>
          <w:rFonts w:ascii="Garamond" w:hAnsi="Garamond" w:cs="Times New Roman"/>
        </w:rPr>
      </w:pPr>
    </w:p>
    <w:p w:rsidR="003D5BE9" w:rsidRPr="00C66956" w:rsidRDefault="00242159" w:rsidP="003D5BE9">
      <w:pPr>
        <w:spacing w:after="0"/>
        <w:rPr>
          <w:rFonts w:ascii="Garamond" w:hAnsi="Garamond" w:cs="Times New Roman"/>
        </w:rPr>
      </w:pPr>
      <w:r w:rsidRPr="00C66956">
        <w:rPr>
          <w:rFonts w:ascii="Garamond" w:hAnsi="Garamond" w:cs="Times New Roman"/>
        </w:rPr>
        <w:t xml:space="preserve">The Town of Old Saybrook Board of Selectmen is the </w:t>
      </w:r>
      <w:r w:rsidR="00C53B10">
        <w:rPr>
          <w:rFonts w:ascii="Garamond" w:hAnsi="Garamond" w:cs="Times New Roman"/>
        </w:rPr>
        <w:t xml:space="preserve">fiduciary of the </w:t>
      </w:r>
      <w:r w:rsidRPr="00C66956">
        <w:rPr>
          <w:rFonts w:ascii="Garamond" w:hAnsi="Garamond" w:cs="Times New Roman"/>
        </w:rPr>
        <w:t>Tow</w:t>
      </w:r>
      <w:r w:rsidR="00C53B10">
        <w:rPr>
          <w:rFonts w:ascii="Garamond" w:hAnsi="Garamond" w:cs="Times New Roman"/>
        </w:rPr>
        <w:t>n’s retirement plans</w:t>
      </w:r>
      <w:r w:rsidRPr="00C66956">
        <w:rPr>
          <w:rFonts w:ascii="Garamond" w:hAnsi="Garamond" w:cs="Times New Roman"/>
        </w:rPr>
        <w:t>. Specifically, the Town of Old Saybrook Board of Selectmen receive</w:t>
      </w:r>
      <w:r w:rsidR="003373D6" w:rsidRPr="00C66956">
        <w:rPr>
          <w:rFonts w:ascii="Garamond" w:hAnsi="Garamond" w:cs="Times New Roman"/>
        </w:rPr>
        <w:t>s</w:t>
      </w:r>
      <w:r w:rsidRPr="00C66956">
        <w:rPr>
          <w:rFonts w:ascii="Garamond" w:hAnsi="Garamond" w:cs="Times New Roman"/>
        </w:rPr>
        <w:t xml:space="preserve"> advice and recommendations from the PBB. The Board of Selectmen </w:t>
      </w:r>
      <w:r w:rsidR="003373D6" w:rsidRPr="00C66956">
        <w:rPr>
          <w:rFonts w:ascii="Garamond" w:hAnsi="Garamond" w:cs="Times New Roman"/>
        </w:rPr>
        <w:t>is</w:t>
      </w:r>
      <w:r w:rsidRPr="00C66956">
        <w:rPr>
          <w:rFonts w:ascii="Garamond" w:hAnsi="Garamond" w:cs="Times New Roman"/>
        </w:rPr>
        <w:t xml:space="preserve"> ultimately responsible for actions of the PBB as a result of acceptance or denial of the PBB defined benefit plans recommendations.</w:t>
      </w:r>
    </w:p>
    <w:p w:rsidR="00242159" w:rsidRPr="00C66956" w:rsidRDefault="00242159" w:rsidP="003D5BE9">
      <w:pPr>
        <w:spacing w:after="0"/>
        <w:rPr>
          <w:rFonts w:ascii="Garamond" w:hAnsi="Garamond" w:cs="Times New Roman"/>
        </w:rPr>
      </w:pPr>
    </w:p>
    <w:p w:rsidR="00242159" w:rsidRPr="00C66956" w:rsidRDefault="00242159" w:rsidP="006F78A9">
      <w:pPr>
        <w:pStyle w:val="Heading2"/>
        <w:rPr>
          <w:rFonts w:ascii="Garamond" w:hAnsi="Garamond"/>
        </w:rPr>
      </w:pPr>
      <w:bookmarkStart w:id="5" w:name="_Toc7689723"/>
      <w:r w:rsidRPr="00C66956">
        <w:rPr>
          <w:rFonts w:ascii="Garamond" w:hAnsi="Garamond"/>
        </w:rPr>
        <w:t xml:space="preserve">The Town of Old Saybrook Pension and Benefits </w:t>
      </w:r>
      <w:r w:rsidR="00C14689" w:rsidRPr="00C66956">
        <w:rPr>
          <w:rFonts w:ascii="Garamond" w:hAnsi="Garamond"/>
        </w:rPr>
        <w:t>Board</w:t>
      </w:r>
      <w:bookmarkEnd w:id="5"/>
    </w:p>
    <w:p w:rsidR="00C14689" w:rsidRPr="00C66956" w:rsidRDefault="00C14689" w:rsidP="003D5BE9">
      <w:pPr>
        <w:spacing w:after="0"/>
        <w:rPr>
          <w:rFonts w:ascii="Garamond" w:hAnsi="Garamond" w:cs="Times New Roman"/>
        </w:rPr>
      </w:pPr>
      <w:r w:rsidRPr="00C66956">
        <w:rPr>
          <w:rFonts w:ascii="Garamond" w:hAnsi="Garamond" w:cs="Times New Roman"/>
        </w:rPr>
        <w:t>The primary responsibilities of the PBB with respect to the oversight of the investment portfolio culminate in recommendations to the Board of Selectmen. The responsibilities of the</w:t>
      </w:r>
      <w:r w:rsidR="00400E39">
        <w:rPr>
          <w:rFonts w:ascii="Garamond" w:hAnsi="Garamond" w:cs="Times New Roman"/>
        </w:rPr>
        <w:t xml:space="preserve"> Pension and Benefit Board are:</w:t>
      </w:r>
    </w:p>
    <w:p w:rsidR="00C14689" w:rsidRPr="00C66956" w:rsidRDefault="00C14689" w:rsidP="00C14689">
      <w:pPr>
        <w:pStyle w:val="ListParagraph"/>
        <w:numPr>
          <w:ilvl w:val="0"/>
          <w:numId w:val="3"/>
        </w:numPr>
        <w:spacing w:after="0"/>
        <w:rPr>
          <w:rFonts w:ascii="Garamond" w:hAnsi="Garamond" w:cs="Times New Roman"/>
        </w:rPr>
      </w:pPr>
      <w:r w:rsidRPr="00C66956">
        <w:rPr>
          <w:rFonts w:ascii="Garamond" w:hAnsi="Garamond" w:cs="Times New Roman"/>
        </w:rPr>
        <w:t xml:space="preserve">Establish and recommend an </w:t>
      </w:r>
      <w:r w:rsidR="003373D6" w:rsidRPr="00C66956">
        <w:rPr>
          <w:rFonts w:ascii="Garamond" w:hAnsi="Garamond" w:cs="Times New Roman"/>
        </w:rPr>
        <w:t>IPS</w:t>
      </w:r>
      <w:r w:rsidRPr="00C66956">
        <w:rPr>
          <w:rFonts w:ascii="Garamond" w:hAnsi="Garamond" w:cs="Times New Roman"/>
        </w:rPr>
        <w:t xml:space="preserve"> and periodically review that statement for continued accuracy and completeness;</w:t>
      </w:r>
    </w:p>
    <w:p w:rsidR="00C14689" w:rsidRPr="00C66956" w:rsidRDefault="00C14689" w:rsidP="003373D6">
      <w:pPr>
        <w:pStyle w:val="ListParagraph"/>
        <w:numPr>
          <w:ilvl w:val="0"/>
          <w:numId w:val="3"/>
        </w:numPr>
        <w:spacing w:after="0"/>
        <w:rPr>
          <w:rFonts w:ascii="Garamond" w:hAnsi="Garamond" w:cs="Times New Roman"/>
        </w:rPr>
      </w:pPr>
      <w:r w:rsidRPr="00C66956">
        <w:rPr>
          <w:rFonts w:ascii="Garamond" w:hAnsi="Garamond" w:cs="Times New Roman"/>
        </w:rPr>
        <w:t>Prudently diversify, or oversee the diversification of, the portfolio assets to meet an agreed u</w:t>
      </w:r>
      <w:r w:rsidR="002D1F2A" w:rsidRPr="00C66956">
        <w:rPr>
          <w:rFonts w:ascii="Garamond" w:hAnsi="Garamond" w:cs="Times New Roman"/>
        </w:rPr>
        <w:t>p</w:t>
      </w:r>
      <w:r w:rsidRPr="00C66956">
        <w:rPr>
          <w:rFonts w:ascii="Garamond" w:hAnsi="Garamond" w:cs="Times New Roman"/>
        </w:rPr>
        <w:t>on risk/return profile as outlined in this IPS;</w:t>
      </w:r>
    </w:p>
    <w:p w:rsidR="00C14689" w:rsidRPr="00C66956" w:rsidRDefault="00C14689" w:rsidP="003373D6">
      <w:pPr>
        <w:pStyle w:val="ListParagraph"/>
        <w:numPr>
          <w:ilvl w:val="0"/>
          <w:numId w:val="3"/>
        </w:numPr>
        <w:spacing w:after="0"/>
        <w:rPr>
          <w:rFonts w:ascii="Garamond" w:hAnsi="Garamond" w:cs="Times New Roman"/>
        </w:rPr>
      </w:pPr>
      <w:r w:rsidRPr="00C66956">
        <w:rPr>
          <w:rFonts w:ascii="Garamond" w:hAnsi="Garamond" w:cs="Times New Roman"/>
        </w:rPr>
        <w:t>Monitor the investment advisor, the investment managers and the performance of the accounts under management;</w:t>
      </w:r>
    </w:p>
    <w:p w:rsidR="00C14689" w:rsidRPr="00C66956" w:rsidRDefault="00C14689" w:rsidP="00C14689">
      <w:pPr>
        <w:pStyle w:val="ListParagraph"/>
        <w:numPr>
          <w:ilvl w:val="0"/>
          <w:numId w:val="3"/>
        </w:numPr>
        <w:spacing w:after="0"/>
        <w:rPr>
          <w:rFonts w:ascii="Garamond" w:hAnsi="Garamond" w:cs="Times New Roman"/>
        </w:rPr>
      </w:pPr>
      <w:r w:rsidRPr="00C66956">
        <w:rPr>
          <w:rFonts w:ascii="Garamond" w:hAnsi="Garamond" w:cs="Times New Roman"/>
        </w:rPr>
        <w:t>Oversee all investment, record keeping and administrative expenses associated with the accounts; and</w:t>
      </w:r>
    </w:p>
    <w:p w:rsidR="00C14689" w:rsidRPr="00C66956" w:rsidRDefault="00C14689" w:rsidP="00C14689">
      <w:pPr>
        <w:pStyle w:val="ListParagraph"/>
        <w:numPr>
          <w:ilvl w:val="0"/>
          <w:numId w:val="3"/>
        </w:numPr>
        <w:spacing w:after="0"/>
        <w:rPr>
          <w:rFonts w:ascii="Garamond" w:hAnsi="Garamond" w:cs="Times New Roman"/>
        </w:rPr>
      </w:pPr>
      <w:r w:rsidRPr="00C66956">
        <w:rPr>
          <w:rFonts w:ascii="Garamond" w:hAnsi="Garamond" w:cs="Times New Roman"/>
        </w:rPr>
        <w:t>Review and deal prudently with conflicts of interest.</w:t>
      </w:r>
    </w:p>
    <w:p w:rsidR="00C14689" w:rsidRPr="00C66956" w:rsidRDefault="00C14689" w:rsidP="00C14689">
      <w:pPr>
        <w:spacing w:after="0"/>
        <w:rPr>
          <w:rFonts w:ascii="Garamond" w:hAnsi="Garamond" w:cs="Times New Roman"/>
        </w:rPr>
      </w:pPr>
    </w:p>
    <w:p w:rsidR="00C14689" w:rsidRPr="00C66956" w:rsidRDefault="003373D6" w:rsidP="006F78A9">
      <w:pPr>
        <w:pStyle w:val="Heading2"/>
        <w:rPr>
          <w:rFonts w:ascii="Garamond" w:hAnsi="Garamond"/>
        </w:rPr>
      </w:pPr>
      <w:bookmarkStart w:id="6" w:name="_Toc7689724"/>
      <w:r w:rsidRPr="00C66956">
        <w:rPr>
          <w:rFonts w:ascii="Garamond" w:hAnsi="Garamond"/>
        </w:rPr>
        <w:t>The Investment Adviso</w:t>
      </w:r>
      <w:r w:rsidR="00C14689" w:rsidRPr="00C66956">
        <w:rPr>
          <w:rFonts w:ascii="Garamond" w:hAnsi="Garamond"/>
        </w:rPr>
        <w:t>r</w:t>
      </w:r>
      <w:bookmarkEnd w:id="6"/>
    </w:p>
    <w:p w:rsidR="00C14689" w:rsidRPr="00C66956" w:rsidRDefault="003373D6" w:rsidP="00C14689">
      <w:pPr>
        <w:spacing w:after="0"/>
        <w:rPr>
          <w:rFonts w:ascii="Garamond" w:hAnsi="Garamond" w:cs="Times New Roman"/>
        </w:rPr>
      </w:pPr>
      <w:r w:rsidRPr="00C66956">
        <w:rPr>
          <w:rFonts w:ascii="Garamond" w:hAnsi="Garamond" w:cs="Times New Roman"/>
        </w:rPr>
        <w:t>The PBB</w:t>
      </w:r>
      <w:r w:rsidR="002D1F2A" w:rsidRPr="00C66956">
        <w:rPr>
          <w:rFonts w:ascii="Garamond" w:hAnsi="Garamond" w:cs="Times New Roman"/>
        </w:rPr>
        <w:t xml:space="preserve"> may retain an</w:t>
      </w:r>
      <w:r w:rsidR="00C14689" w:rsidRPr="00C66956">
        <w:rPr>
          <w:rFonts w:ascii="Garamond" w:hAnsi="Garamond" w:cs="Times New Roman"/>
        </w:rPr>
        <w:t xml:space="preserve"> investment advisor</w:t>
      </w:r>
      <w:r w:rsidR="00C53B10">
        <w:rPr>
          <w:rFonts w:ascii="Garamond" w:hAnsi="Garamond" w:cs="Times New Roman"/>
        </w:rPr>
        <w:t>.</w:t>
      </w:r>
    </w:p>
    <w:p w:rsidR="00C14689" w:rsidRPr="00C66956" w:rsidRDefault="003373D6" w:rsidP="00C14689">
      <w:pPr>
        <w:pStyle w:val="ListParagraph"/>
        <w:numPr>
          <w:ilvl w:val="0"/>
          <w:numId w:val="4"/>
        </w:numPr>
        <w:spacing w:after="0"/>
        <w:rPr>
          <w:rFonts w:ascii="Garamond" w:hAnsi="Garamond" w:cs="Times New Roman"/>
        </w:rPr>
      </w:pPr>
      <w:r w:rsidRPr="00C66956">
        <w:rPr>
          <w:rFonts w:ascii="Garamond" w:hAnsi="Garamond" w:cs="Times New Roman"/>
        </w:rPr>
        <w:t>“Investment adviso</w:t>
      </w:r>
      <w:r w:rsidR="00C14689" w:rsidRPr="00C66956">
        <w:rPr>
          <w:rFonts w:ascii="Garamond" w:hAnsi="Garamond" w:cs="Times New Roman"/>
        </w:rPr>
        <w:t>r” is a legal term that appears in the Investment Advisers Act of 1940, the federal la</w:t>
      </w:r>
      <w:r w:rsidRPr="00C66956">
        <w:rPr>
          <w:rFonts w:ascii="Garamond" w:hAnsi="Garamond" w:cs="Times New Roman"/>
        </w:rPr>
        <w:t>w that governs investment adviso</w:t>
      </w:r>
      <w:r w:rsidR="00C14689" w:rsidRPr="00C66956">
        <w:rPr>
          <w:rFonts w:ascii="Garamond" w:hAnsi="Garamond" w:cs="Times New Roman"/>
        </w:rPr>
        <w:t>rs. Generally, this law defin</w:t>
      </w:r>
      <w:r w:rsidRPr="00C66956">
        <w:rPr>
          <w:rFonts w:ascii="Garamond" w:hAnsi="Garamond" w:cs="Times New Roman"/>
        </w:rPr>
        <w:t>es an investment adviso</w:t>
      </w:r>
      <w:r w:rsidR="00C14689" w:rsidRPr="00C66956">
        <w:rPr>
          <w:rFonts w:ascii="Garamond" w:hAnsi="Garamond" w:cs="Times New Roman"/>
        </w:rPr>
        <w:t>r as someone who, for pay, is in the business of advising others on investing in stocks, bonds, and other securities.</w:t>
      </w:r>
    </w:p>
    <w:p w:rsidR="00C14689" w:rsidRPr="00C66956" w:rsidRDefault="00C14689" w:rsidP="00C14689">
      <w:pPr>
        <w:pStyle w:val="ListParagraph"/>
        <w:numPr>
          <w:ilvl w:val="0"/>
          <w:numId w:val="4"/>
        </w:numPr>
        <w:spacing w:after="0"/>
        <w:rPr>
          <w:rFonts w:ascii="Garamond" w:hAnsi="Garamond" w:cs="Times New Roman"/>
        </w:rPr>
      </w:pPr>
      <w:r w:rsidRPr="00C66956">
        <w:rPr>
          <w:rFonts w:ascii="Garamond" w:hAnsi="Garamond" w:cs="Times New Roman"/>
        </w:rPr>
        <w:t>It is the intention of the PBB</w:t>
      </w:r>
      <w:r w:rsidR="00C53B10">
        <w:rPr>
          <w:rFonts w:ascii="Garamond" w:hAnsi="Garamond" w:cs="Times New Roman"/>
        </w:rPr>
        <w:t xml:space="preserve"> to utilize an i</w:t>
      </w:r>
      <w:r w:rsidR="003373D6" w:rsidRPr="00C66956">
        <w:rPr>
          <w:rFonts w:ascii="Garamond" w:hAnsi="Garamond" w:cs="Times New Roman"/>
        </w:rPr>
        <w:t>nvestment adviso</w:t>
      </w:r>
      <w:r w:rsidRPr="00C66956">
        <w:rPr>
          <w:rFonts w:ascii="Garamond" w:hAnsi="Garamond" w:cs="Times New Roman"/>
        </w:rPr>
        <w:t xml:space="preserve">r </w:t>
      </w:r>
      <w:r w:rsidR="00A35F4D" w:rsidRPr="00C66956">
        <w:rPr>
          <w:rFonts w:ascii="Garamond" w:hAnsi="Garamond" w:cs="Times New Roman"/>
        </w:rPr>
        <w:t>to provide profession</w:t>
      </w:r>
      <w:r w:rsidR="00C53B10">
        <w:rPr>
          <w:rFonts w:ascii="Garamond" w:hAnsi="Garamond" w:cs="Times New Roman"/>
        </w:rPr>
        <w:t>al advice to the Town regarding</w:t>
      </w:r>
      <w:r w:rsidR="00E53472" w:rsidRPr="00C66956">
        <w:rPr>
          <w:rFonts w:ascii="Garamond" w:hAnsi="Garamond" w:cs="Times New Roman"/>
        </w:rPr>
        <w:t xml:space="preserve"> the investment of the pension plan assets</w:t>
      </w:r>
      <w:r w:rsidR="00C53B10">
        <w:rPr>
          <w:rFonts w:ascii="Garamond" w:hAnsi="Garamond" w:cs="Times New Roman"/>
        </w:rPr>
        <w:t>. Further, the i</w:t>
      </w:r>
      <w:r w:rsidR="003373D6" w:rsidRPr="00C66956">
        <w:rPr>
          <w:rFonts w:ascii="Garamond" w:hAnsi="Garamond" w:cs="Times New Roman"/>
        </w:rPr>
        <w:t>nvestment adviso</w:t>
      </w:r>
      <w:r w:rsidR="00E53472" w:rsidRPr="00C66956">
        <w:rPr>
          <w:rFonts w:ascii="Garamond" w:hAnsi="Garamond" w:cs="Times New Roman"/>
        </w:rPr>
        <w:t xml:space="preserve">r will have discretionary authority to make investment decisions on behalf of the PBB when managing the assets of the defined benefit </w:t>
      </w:r>
      <w:r w:rsidR="001D5A78" w:rsidRPr="00C66956">
        <w:rPr>
          <w:rFonts w:ascii="Garamond" w:hAnsi="Garamond" w:cs="Times New Roman"/>
        </w:rPr>
        <w:t>plans. This authori</w:t>
      </w:r>
      <w:r w:rsidR="00C53B10">
        <w:rPr>
          <w:rFonts w:ascii="Garamond" w:hAnsi="Garamond" w:cs="Times New Roman"/>
        </w:rPr>
        <w:t>ty includes determining, which i</w:t>
      </w:r>
      <w:r w:rsidR="001D5A78" w:rsidRPr="00C66956">
        <w:rPr>
          <w:rFonts w:ascii="Garamond" w:hAnsi="Garamond" w:cs="Times New Roman"/>
        </w:rPr>
        <w:t>nvestment managers or individual securities, if applicable, to purchase.</w:t>
      </w:r>
    </w:p>
    <w:p w:rsidR="001D5A78" w:rsidRPr="00C66956" w:rsidRDefault="001D5A78" w:rsidP="00C14689">
      <w:pPr>
        <w:pStyle w:val="ListParagraph"/>
        <w:numPr>
          <w:ilvl w:val="0"/>
          <w:numId w:val="4"/>
        </w:numPr>
        <w:spacing w:after="0"/>
        <w:rPr>
          <w:rFonts w:ascii="Garamond" w:hAnsi="Garamond" w:cs="Times New Roman"/>
        </w:rPr>
      </w:pPr>
      <w:r w:rsidRPr="00C66956">
        <w:rPr>
          <w:rFonts w:ascii="Garamond" w:hAnsi="Garamond" w:cs="Times New Roman"/>
        </w:rPr>
        <w:t>An investment manager is a firm that manages securities portfolios for institutional investors and may specialize in various fixed income, equity or other financial asset class mandates.</w:t>
      </w:r>
    </w:p>
    <w:p w:rsidR="001D5A78" w:rsidRPr="00C66956" w:rsidRDefault="00C946AA" w:rsidP="00C14689">
      <w:pPr>
        <w:pStyle w:val="ListParagraph"/>
        <w:numPr>
          <w:ilvl w:val="0"/>
          <w:numId w:val="4"/>
        </w:numPr>
        <w:spacing w:after="0"/>
        <w:rPr>
          <w:rFonts w:ascii="Garamond" w:hAnsi="Garamond" w:cs="Times New Roman"/>
        </w:rPr>
      </w:pPr>
      <w:r>
        <w:rPr>
          <w:rFonts w:ascii="Garamond" w:hAnsi="Garamond" w:cs="Times New Roman"/>
        </w:rPr>
        <w:t>The i</w:t>
      </w:r>
      <w:r w:rsidR="001D5A78" w:rsidRPr="00C66956">
        <w:rPr>
          <w:rFonts w:ascii="Garamond" w:hAnsi="Garamond" w:cs="Times New Roman"/>
        </w:rPr>
        <w:t xml:space="preserve">nvestment </w:t>
      </w:r>
      <w:r>
        <w:rPr>
          <w:rFonts w:ascii="Garamond" w:hAnsi="Garamond" w:cs="Times New Roman"/>
        </w:rPr>
        <w:t>a</w:t>
      </w:r>
      <w:r w:rsidR="00884DB1">
        <w:rPr>
          <w:rFonts w:ascii="Garamond" w:hAnsi="Garamond" w:cs="Times New Roman"/>
        </w:rPr>
        <w:t>dvisor</w:t>
      </w:r>
      <w:r w:rsidR="001D5A78" w:rsidRPr="00C66956">
        <w:rPr>
          <w:rFonts w:ascii="Garamond" w:hAnsi="Garamond" w:cs="Times New Roman"/>
        </w:rPr>
        <w:t xml:space="preserve"> will:</w:t>
      </w:r>
    </w:p>
    <w:p w:rsidR="001D5A78" w:rsidRPr="00C66956" w:rsidRDefault="001D5A78" w:rsidP="001D5A78">
      <w:pPr>
        <w:pStyle w:val="ListParagraph"/>
        <w:numPr>
          <w:ilvl w:val="1"/>
          <w:numId w:val="4"/>
        </w:numPr>
        <w:spacing w:after="0"/>
        <w:rPr>
          <w:rFonts w:ascii="Garamond" w:hAnsi="Garamond" w:cs="Times New Roman"/>
        </w:rPr>
      </w:pPr>
      <w:r w:rsidRPr="00C66956">
        <w:rPr>
          <w:rFonts w:ascii="Garamond" w:hAnsi="Garamond" w:cs="Times New Roman"/>
        </w:rPr>
        <w:t xml:space="preserve">Assist the </w:t>
      </w:r>
      <w:r w:rsidR="003373D6" w:rsidRPr="00C66956">
        <w:rPr>
          <w:rFonts w:ascii="Garamond" w:hAnsi="Garamond" w:cs="Times New Roman"/>
        </w:rPr>
        <w:t>PBB</w:t>
      </w:r>
      <w:r w:rsidRPr="00C66956">
        <w:rPr>
          <w:rFonts w:ascii="Garamond" w:hAnsi="Garamond" w:cs="Times New Roman"/>
        </w:rPr>
        <w:t xml:space="preserve"> in strategic investment planning for the Plan</w:t>
      </w:r>
      <w:r w:rsidR="00C946AA">
        <w:rPr>
          <w:rFonts w:ascii="Garamond" w:hAnsi="Garamond" w:cs="Times New Roman"/>
        </w:rPr>
        <w:t>s</w:t>
      </w:r>
      <w:r w:rsidRPr="00C66956">
        <w:rPr>
          <w:rFonts w:ascii="Garamond" w:hAnsi="Garamond" w:cs="Times New Roman"/>
        </w:rPr>
        <w:t xml:space="preserve"> by providing assistance in developing an </w:t>
      </w:r>
      <w:r w:rsidR="003373D6" w:rsidRPr="00C66956">
        <w:rPr>
          <w:rFonts w:ascii="Garamond" w:hAnsi="Garamond" w:cs="Times New Roman"/>
        </w:rPr>
        <w:t>IPS</w:t>
      </w:r>
      <w:r w:rsidRPr="00C66956">
        <w:rPr>
          <w:rFonts w:ascii="Garamond" w:hAnsi="Garamond" w:cs="Times New Roman"/>
        </w:rPr>
        <w:t>, an asset allocation strategy, and portfolio structure;</w:t>
      </w:r>
    </w:p>
    <w:p w:rsidR="001D5A78" w:rsidRPr="00C66956" w:rsidRDefault="001D5A78" w:rsidP="001D5A78">
      <w:pPr>
        <w:pStyle w:val="ListParagraph"/>
        <w:numPr>
          <w:ilvl w:val="1"/>
          <w:numId w:val="4"/>
        </w:numPr>
        <w:spacing w:after="0"/>
        <w:rPr>
          <w:rFonts w:ascii="Garamond" w:hAnsi="Garamond" w:cs="Times New Roman"/>
        </w:rPr>
      </w:pPr>
      <w:r w:rsidRPr="00C66956">
        <w:rPr>
          <w:rFonts w:ascii="Garamond" w:hAnsi="Garamond" w:cs="Times New Roman"/>
        </w:rPr>
        <w:t>Provide written performance measurement reports on a quarterly basis;</w:t>
      </w:r>
    </w:p>
    <w:p w:rsidR="001D5A78" w:rsidRPr="00C66956" w:rsidRDefault="001D5A78" w:rsidP="001D5A78">
      <w:pPr>
        <w:pStyle w:val="ListParagraph"/>
        <w:numPr>
          <w:ilvl w:val="1"/>
          <w:numId w:val="4"/>
        </w:numPr>
        <w:spacing w:after="0"/>
        <w:rPr>
          <w:rFonts w:ascii="Garamond" w:hAnsi="Garamond" w:cs="Times New Roman"/>
        </w:rPr>
      </w:pPr>
      <w:r w:rsidRPr="00C66956">
        <w:rPr>
          <w:rFonts w:ascii="Garamond" w:hAnsi="Garamond" w:cs="Times New Roman"/>
        </w:rPr>
        <w:t>Manage the retirement plan portfolios as outline</w:t>
      </w:r>
      <w:r w:rsidR="00884DB1">
        <w:rPr>
          <w:rFonts w:ascii="Garamond" w:hAnsi="Garamond" w:cs="Times New Roman"/>
        </w:rPr>
        <w:t>d</w:t>
      </w:r>
      <w:r w:rsidRPr="00C66956">
        <w:rPr>
          <w:rFonts w:ascii="Garamond" w:hAnsi="Garamond" w:cs="Times New Roman"/>
        </w:rPr>
        <w:t xml:space="preserve"> in the IPS;</w:t>
      </w:r>
    </w:p>
    <w:p w:rsidR="004E1BAD" w:rsidRPr="00C66956" w:rsidRDefault="004E1BAD" w:rsidP="001D5A78">
      <w:pPr>
        <w:pStyle w:val="ListParagraph"/>
        <w:numPr>
          <w:ilvl w:val="1"/>
          <w:numId w:val="4"/>
        </w:numPr>
        <w:spacing w:after="0"/>
        <w:rPr>
          <w:rFonts w:ascii="Garamond" w:hAnsi="Garamond" w:cs="Times New Roman"/>
        </w:rPr>
      </w:pPr>
      <w:r w:rsidRPr="00C66956">
        <w:rPr>
          <w:rFonts w:ascii="Garamond" w:hAnsi="Garamond" w:cs="Times New Roman"/>
        </w:rPr>
        <w:t>Review investment performance on a quarterly basis, discuss asset allocation, deviation from asset allocation, contributions of tactical asset allocation decisions and performance based on benchmark and assumed rate of return.</w:t>
      </w:r>
    </w:p>
    <w:p w:rsidR="004E1BAD" w:rsidRPr="00C66956" w:rsidRDefault="00C946AA" w:rsidP="001D5A78">
      <w:pPr>
        <w:pStyle w:val="ListParagraph"/>
        <w:numPr>
          <w:ilvl w:val="1"/>
          <w:numId w:val="4"/>
        </w:numPr>
        <w:spacing w:after="0"/>
        <w:rPr>
          <w:rFonts w:ascii="Garamond" w:hAnsi="Garamond" w:cs="Times New Roman"/>
        </w:rPr>
      </w:pPr>
      <w:r>
        <w:rPr>
          <w:rFonts w:ascii="Garamond" w:hAnsi="Garamond" w:cs="Times New Roman"/>
        </w:rPr>
        <w:t>Discuss</w:t>
      </w:r>
      <w:r w:rsidR="004E1BAD" w:rsidRPr="00C66956">
        <w:rPr>
          <w:rFonts w:ascii="Garamond" w:hAnsi="Garamond" w:cs="Times New Roman"/>
        </w:rPr>
        <w:t xml:space="preserve"> risk versus benchmark and downside protections and inform the PBB of any modification of manager line up or asset allocation, within the confines of the IPS, which have been made during the last quarter.</w:t>
      </w:r>
    </w:p>
    <w:p w:rsidR="004E1BAD" w:rsidRPr="00C66956" w:rsidRDefault="004E1BAD" w:rsidP="004E1BAD">
      <w:pPr>
        <w:spacing w:after="0"/>
        <w:rPr>
          <w:rFonts w:ascii="Garamond" w:hAnsi="Garamond" w:cs="Times New Roman"/>
        </w:rPr>
      </w:pPr>
    </w:p>
    <w:p w:rsidR="004E1BAD" w:rsidRPr="00C66956" w:rsidRDefault="004E1BAD" w:rsidP="006F78A9">
      <w:pPr>
        <w:pStyle w:val="Heading2"/>
        <w:rPr>
          <w:rFonts w:ascii="Garamond" w:hAnsi="Garamond"/>
        </w:rPr>
      </w:pPr>
      <w:bookmarkStart w:id="7" w:name="_Toc7689725"/>
      <w:r w:rsidRPr="00C66956">
        <w:rPr>
          <w:rFonts w:ascii="Garamond" w:hAnsi="Garamond"/>
        </w:rPr>
        <w:t>The Custodian</w:t>
      </w:r>
      <w:bookmarkEnd w:id="7"/>
    </w:p>
    <w:p w:rsidR="004E1BAD" w:rsidRPr="00C66956" w:rsidRDefault="00C946AA" w:rsidP="004E1BAD">
      <w:pPr>
        <w:spacing w:after="0"/>
        <w:rPr>
          <w:rFonts w:ascii="Garamond" w:hAnsi="Garamond" w:cs="Times New Roman"/>
        </w:rPr>
      </w:pPr>
      <w:r>
        <w:rPr>
          <w:rFonts w:ascii="Garamond" w:hAnsi="Garamond" w:cs="Times New Roman"/>
        </w:rPr>
        <w:t>The c</w:t>
      </w:r>
      <w:r w:rsidR="004E1BAD" w:rsidRPr="00C66956">
        <w:rPr>
          <w:rFonts w:ascii="Garamond" w:hAnsi="Garamond" w:cs="Times New Roman"/>
        </w:rPr>
        <w:t xml:space="preserve">ustodian is responsible for the safekeeping of the </w:t>
      </w:r>
      <w:r w:rsidR="003373D6" w:rsidRPr="00C66956">
        <w:rPr>
          <w:rFonts w:ascii="Garamond" w:hAnsi="Garamond" w:cs="Times New Roman"/>
        </w:rPr>
        <w:t>Plans’</w:t>
      </w:r>
      <w:r w:rsidR="004E1BAD" w:rsidRPr="00C66956">
        <w:rPr>
          <w:rFonts w:ascii="Garamond" w:hAnsi="Garamond" w:cs="Times New Roman"/>
        </w:rPr>
        <w:t xml:space="preserve"> investment assets. The specific duties and responsibilities of the custodian include:</w:t>
      </w:r>
    </w:p>
    <w:p w:rsidR="004E1BAD" w:rsidRPr="00C66956" w:rsidRDefault="008C3743" w:rsidP="004E1BAD">
      <w:pPr>
        <w:pStyle w:val="ListParagraph"/>
        <w:numPr>
          <w:ilvl w:val="0"/>
          <w:numId w:val="5"/>
        </w:numPr>
        <w:spacing w:after="0"/>
        <w:rPr>
          <w:rFonts w:ascii="Garamond" w:hAnsi="Garamond" w:cs="Times New Roman"/>
        </w:rPr>
      </w:pPr>
      <w:r w:rsidRPr="00C66956">
        <w:rPr>
          <w:rFonts w:ascii="Garamond" w:hAnsi="Garamond" w:cs="Times New Roman"/>
        </w:rPr>
        <w:t>Maintain separate accounts by legal registration;</w:t>
      </w:r>
    </w:p>
    <w:p w:rsidR="008C3743" w:rsidRPr="00C66956" w:rsidRDefault="008C3743" w:rsidP="004E1BAD">
      <w:pPr>
        <w:pStyle w:val="ListParagraph"/>
        <w:numPr>
          <w:ilvl w:val="0"/>
          <w:numId w:val="5"/>
        </w:numPr>
        <w:spacing w:after="0"/>
        <w:rPr>
          <w:rFonts w:ascii="Garamond" w:hAnsi="Garamond" w:cs="Times New Roman"/>
        </w:rPr>
      </w:pPr>
      <w:r w:rsidRPr="00C66956">
        <w:rPr>
          <w:rFonts w:ascii="Garamond" w:hAnsi="Garamond" w:cs="Times New Roman"/>
        </w:rPr>
        <w:t>Value the holdings;</w:t>
      </w:r>
    </w:p>
    <w:p w:rsidR="008C3743" w:rsidRPr="00C66956" w:rsidRDefault="008C3743" w:rsidP="004E1BAD">
      <w:pPr>
        <w:pStyle w:val="ListParagraph"/>
        <w:numPr>
          <w:ilvl w:val="0"/>
          <w:numId w:val="5"/>
        </w:numPr>
        <w:spacing w:after="0"/>
        <w:rPr>
          <w:rFonts w:ascii="Garamond" w:hAnsi="Garamond" w:cs="Times New Roman"/>
        </w:rPr>
      </w:pPr>
      <w:r w:rsidRPr="00C66956">
        <w:rPr>
          <w:rFonts w:ascii="Garamond" w:hAnsi="Garamond" w:cs="Times New Roman"/>
        </w:rPr>
        <w:t>Collect all income and dividends owed to the Plan</w:t>
      </w:r>
      <w:r w:rsidR="003373D6" w:rsidRPr="00C66956">
        <w:rPr>
          <w:rFonts w:ascii="Garamond" w:hAnsi="Garamond" w:cs="Times New Roman"/>
        </w:rPr>
        <w:t>s</w:t>
      </w:r>
      <w:r w:rsidRPr="00C66956">
        <w:rPr>
          <w:rFonts w:ascii="Garamond" w:hAnsi="Garamond" w:cs="Times New Roman"/>
        </w:rPr>
        <w:t xml:space="preserve"> in its custody;</w:t>
      </w:r>
    </w:p>
    <w:p w:rsidR="008C3743" w:rsidRPr="00C66956" w:rsidRDefault="008C3743" w:rsidP="004E1BAD">
      <w:pPr>
        <w:pStyle w:val="ListParagraph"/>
        <w:numPr>
          <w:ilvl w:val="0"/>
          <w:numId w:val="5"/>
        </w:numPr>
        <w:spacing w:after="0"/>
        <w:rPr>
          <w:rFonts w:ascii="Garamond" w:hAnsi="Garamond" w:cs="Times New Roman"/>
        </w:rPr>
      </w:pPr>
      <w:r w:rsidRPr="00C66956">
        <w:rPr>
          <w:rFonts w:ascii="Garamond" w:hAnsi="Garamond" w:cs="Times New Roman"/>
        </w:rPr>
        <w:t>Settle all transactions initiated by the investment manager; and</w:t>
      </w:r>
    </w:p>
    <w:p w:rsidR="008C3743" w:rsidRPr="00C66956" w:rsidRDefault="008C3743" w:rsidP="004E1BAD">
      <w:pPr>
        <w:pStyle w:val="ListParagraph"/>
        <w:numPr>
          <w:ilvl w:val="0"/>
          <w:numId w:val="5"/>
        </w:numPr>
        <w:spacing w:after="0"/>
        <w:rPr>
          <w:rFonts w:ascii="Garamond" w:hAnsi="Garamond" w:cs="Times New Roman"/>
        </w:rPr>
      </w:pPr>
      <w:r w:rsidRPr="00C66956">
        <w:rPr>
          <w:rFonts w:ascii="Garamond" w:hAnsi="Garamond" w:cs="Times New Roman"/>
        </w:rPr>
        <w:t>Provide quarterly reports that detail transactions, cash flows, securities held and their current value, and change in value of each security and the overall portfolio since the previous report.</w:t>
      </w:r>
    </w:p>
    <w:p w:rsidR="008C3743" w:rsidRPr="00C66956" w:rsidRDefault="008C3743" w:rsidP="004E1BAD">
      <w:pPr>
        <w:pStyle w:val="ListParagraph"/>
        <w:numPr>
          <w:ilvl w:val="0"/>
          <w:numId w:val="5"/>
        </w:numPr>
        <w:spacing w:after="0"/>
        <w:rPr>
          <w:rFonts w:ascii="Garamond" w:hAnsi="Garamond" w:cs="Times New Roman"/>
        </w:rPr>
      </w:pPr>
      <w:r w:rsidRPr="00C66956">
        <w:rPr>
          <w:rFonts w:ascii="Garamond" w:hAnsi="Garamond" w:cs="Times New Roman"/>
        </w:rPr>
        <w:t xml:space="preserve">The Town may utilize its investment </w:t>
      </w:r>
      <w:r w:rsidR="00884DB1">
        <w:rPr>
          <w:rFonts w:ascii="Garamond" w:hAnsi="Garamond" w:cs="Times New Roman"/>
        </w:rPr>
        <w:t>advisor</w:t>
      </w:r>
      <w:r w:rsidRPr="00C66956">
        <w:rPr>
          <w:rFonts w:ascii="Garamond" w:hAnsi="Garamond" w:cs="Times New Roman"/>
        </w:rPr>
        <w:t xml:space="preserve"> as a custodian, provided they have adequate resources to do so.</w:t>
      </w:r>
    </w:p>
    <w:p w:rsidR="008C3743" w:rsidRPr="00C66956" w:rsidRDefault="008C3743" w:rsidP="004E1BAD">
      <w:pPr>
        <w:pStyle w:val="ListParagraph"/>
        <w:numPr>
          <w:ilvl w:val="0"/>
          <w:numId w:val="5"/>
        </w:numPr>
        <w:spacing w:after="0"/>
        <w:rPr>
          <w:rFonts w:ascii="Garamond" w:hAnsi="Garamond" w:cs="Times New Roman"/>
        </w:rPr>
      </w:pPr>
      <w:r w:rsidRPr="00C66956">
        <w:rPr>
          <w:rFonts w:ascii="Garamond" w:hAnsi="Garamond" w:cs="Times New Roman"/>
        </w:rPr>
        <w:t>The Town may utilize a financial institution to hold its liquid funds for pension payroll purposes.</w:t>
      </w:r>
    </w:p>
    <w:p w:rsidR="008C3743" w:rsidRPr="00C66956" w:rsidRDefault="008C3743" w:rsidP="008C3743">
      <w:pPr>
        <w:spacing w:after="0"/>
        <w:rPr>
          <w:rFonts w:ascii="Garamond" w:hAnsi="Garamond" w:cs="Times New Roman"/>
        </w:rPr>
      </w:pPr>
    </w:p>
    <w:p w:rsidR="008C3743" w:rsidRPr="00C66956" w:rsidRDefault="008C3743" w:rsidP="006F78A9">
      <w:pPr>
        <w:pStyle w:val="Heading1"/>
        <w:numPr>
          <w:ilvl w:val="0"/>
          <w:numId w:val="16"/>
        </w:numPr>
        <w:rPr>
          <w:rFonts w:ascii="Garamond" w:hAnsi="Garamond"/>
        </w:rPr>
      </w:pPr>
      <w:bookmarkStart w:id="8" w:name="_Toc7689726"/>
      <w:r w:rsidRPr="00C66956">
        <w:rPr>
          <w:rFonts w:ascii="Garamond" w:hAnsi="Garamond"/>
        </w:rPr>
        <w:t>Objectives</w:t>
      </w:r>
      <w:bookmarkEnd w:id="8"/>
    </w:p>
    <w:p w:rsidR="008C3743" w:rsidRPr="00C66956" w:rsidRDefault="008C3743" w:rsidP="008C3743">
      <w:pPr>
        <w:spacing w:after="0"/>
        <w:rPr>
          <w:rFonts w:ascii="Garamond" w:hAnsi="Garamond" w:cs="Times New Roman"/>
        </w:rPr>
      </w:pPr>
    </w:p>
    <w:p w:rsidR="008C3743" w:rsidRPr="00C66956" w:rsidRDefault="008C3743" w:rsidP="006F78A9">
      <w:pPr>
        <w:pStyle w:val="Heading2"/>
        <w:rPr>
          <w:rFonts w:ascii="Garamond" w:hAnsi="Garamond"/>
        </w:rPr>
      </w:pPr>
      <w:bookmarkStart w:id="9" w:name="_Toc7689727"/>
      <w:r w:rsidRPr="00C66956">
        <w:rPr>
          <w:rFonts w:ascii="Garamond" w:hAnsi="Garamond"/>
        </w:rPr>
        <w:t>Risk Tolerance</w:t>
      </w:r>
      <w:bookmarkEnd w:id="9"/>
    </w:p>
    <w:p w:rsidR="008C3743" w:rsidRPr="00C66956" w:rsidRDefault="008C3743" w:rsidP="008C3743">
      <w:pPr>
        <w:spacing w:after="0"/>
        <w:rPr>
          <w:rFonts w:ascii="Garamond" w:hAnsi="Garamond" w:cs="Times New Roman"/>
        </w:rPr>
      </w:pPr>
      <w:r w:rsidRPr="00C66956">
        <w:rPr>
          <w:rFonts w:ascii="Garamond" w:hAnsi="Garamond" w:cs="Times New Roman"/>
        </w:rPr>
        <w:t>Investment theory and historical capital market return data suggest that, over long periods of time, there is a relationship between the level of risk assumed and the level of return that can be expected in an investment program. In general, higher risk (</w:t>
      </w:r>
      <w:r w:rsidRPr="00C66956">
        <w:rPr>
          <w:rFonts w:ascii="Garamond" w:hAnsi="Garamond" w:cs="Times New Roman"/>
          <w:i/>
        </w:rPr>
        <w:t>i.e.</w:t>
      </w:r>
      <w:r w:rsidRPr="00C66956">
        <w:rPr>
          <w:rFonts w:ascii="Garamond" w:hAnsi="Garamond" w:cs="Times New Roman"/>
        </w:rPr>
        <w:t xml:space="preserve"> volatility of return) is associated with higher return.</w:t>
      </w:r>
    </w:p>
    <w:p w:rsidR="008C3743" w:rsidRPr="00C66956" w:rsidRDefault="008C3743" w:rsidP="008C3743">
      <w:pPr>
        <w:spacing w:after="0"/>
        <w:rPr>
          <w:rFonts w:ascii="Garamond" w:hAnsi="Garamond" w:cs="Times New Roman"/>
        </w:rPr>
      </w:pPr>
    </w:p>
    <w:p w:rsidR="008C3743" w:rsidRPr="00C66956" w:rsidRDefault="008C3743" w:rsidP="008C3743">
      <w:pPr>
        <w:spacing w:after="0"/>
        <w:rPr>
          <w:rFonts w:ascii="Garamond" w:hAnsi="Garamond" w:cs="Times New Roman"/>
        </w:rPr>
      </w:pPr>
      <w:r w:rsidRPr="00C66956">
        <w:rPr>
          <w:rFonts w:ascii="Garamond" w:hAnsi="Garamond" w:cs="Times New Roman"/>
        </w:rPr>
        <w:t xml:space="preserve">Given this relationship between risk and return, a fundamental step in determining the </w:t>
      </w:r>
      <w:r w:rsidR="003373D6" w:rsidRPr="00C66956">
        <w:rPr>
          <w:rFonts w:ascii="Garamond" w:hAnsi="Garamond" w:cs="Times New Roman"/>
        </w:rPr>
        <w:t>IPS</w:t>
      </w:r>
      <w:r w:rsidRPr="00C66956">
        <w:rPr>
          <w:rFonts w:ascii="Garamond" w:hAnsi="Garamond" w:cs="Times New Roman"/>
        </w:rPr>
        <w:t xml:space="preserve"> for the Plan</w:t>
      </w:r>
      <w:r w:rsidR="00C946AA">
        <w:rPr>
          <w:rFonts w:ascii="Garamond" w:hAnsi="Garamond" w:cs="Times New Roman"/>
        </w:rPr>
        <w:t>s</w:t>
      </w:r>
      <w:r w:rsidRPr="00C66956">
        <w:rPr>
          <w:rFonts w:ascii="Garamond" w:hAnsi="Garamond" w:cs="Times New Roman"/>
        </w:rPr>
        <w:t xml:space="preserve"> is the determination of an appropriate risk tolerance. The </w:t>
      </w:r>
      <w:r w:rsidR="003373D6" w:rsidRPr="00C66956">
        <w:rPr>
          <w:rFonts w:ascii="Garamond" w:hAnsi="Garamond" w:cs="Times New Roman"/>
        </w:rPr>
        <w:t>PBB</w:t>
      </w:r>
      <w:r w:rsidRPr="00C66956">
        <w:rPr>
          <w:rFonts w:ascii="Garamond" w:hAnsi="Garamond" w:cs="Times New Roman"/>
        </w:rPr>
        <w:t xml:space="preserve"> examined its willingness to take risk and the </w:t>
      </w:r>
      <w:r w:rsidR="003373D6" w:rsidRPr="00C66956">
        <w:rPr>
          <w:rFonts w:ascii="Garamond" w:hAnsi="Garamond" w:cs="Times New Roman"/>
        </w:rPr>
        <w:t>Plans’</w:t>
      </w:r>
      <w:r w:rsidRPr="00C66956">
        <w:rPr>
          <w:rFonts w:ascii="Garamond" w:hAnsi="Garamond" w:cs="Times New Roman"/>
        </w:rPr>
        <w:t xml:space="preserve"> financial ability to take risk based upon relevant factors, including:</w:t>
      </w:r>
    </w:p>
    <w:p w:rsidR="008C3743" w:rsidRPr="00C66956" w:rsidRDefault="008C3743" w:rsidP="008C3743">
      <w:pPr>
        <w:pStyle w:val="ListParagraph"/>
        <w:numPr>
          <w:ilvl w:val="0"/>
          <w:numId w:val="6"/>
        </w:numPr>
        <w:spacing w:after="0"/>
        <w:rPr>
          <w:rFonts w:ascii="Garamond" w:hAnsi="Garamond" w:cs="Times New Roman"/>
        </w:rPr>
      </w:pPr>
      <w:r w:rsidRPr="00C66956">
        <w:rPr>
          <w:rFonts w:ascii="Garamond" w:hAnsi="Garamond" w:cs="Times New Roman"/>
        </w:rPr>
        <w:t>The Plans</w:t>
      </w:r>
      <w:r w:rsidR="00C946AA">
        <w:rPr>
          <w:rFonts w:ascii="Garamond" w:hAnsi="Garamond" w:cs="Times New Roman"/>
        </w:rPr>
        <w:t>’ long</w:t>
      </w:r>
      <w:r w:rsidR="00585D7E" w:rsidRPr="00C66956">
        <w:rPr>
          <w:rFonts w:ascii="Garamond" w:hAnsi="Garamond" w:cs="Times New Roman"/>
        </w:rPr>
        <w:t>time horizon;</w:t>
      </w:r>
    </w:p>
    <w:p w:rsidR="00585D7E" w:rsidRPr="00C66956" w:rsidRDefault="00585D7E" w:rsidP="008C3743">
      <w:pPr>
        <w:pStyle w:val="ListParagraph"/>
        <w:numPr>
          <w:ilvl w:val="0"/>
          <w:numId w:val="6"/>
        </w:numPr>
        <w:spacing w:after="0"/>
        <w:rPr>
          <w:rFonts w:ascii="Garamond" w:hAnsi="Garamond" w:cs="Times New Roman"/>
        </w:rPr>
      </w:pPr>
      <w:r w:rsidRPr="00C66956">
        <w:rPr>
          <w:rFonts w:ascii="Garamond" w:hAnsi="Garamond" w:cs="Times New Roman"/>
        </w:rPr>
        <w:t>The Plans’ financial strength</w:t>
      </w:r>
      <w:r w:rsidR="00C946AA">
        <w:rPr>
          <w:rFonts w:ascii="Garamond" w:hAnsi="Garamond" w:cs="Times New Roman"/>
        </w:rPr>
        <w:t>.</w:t>
      </w:r>
    </w:p>
    <w:p w:rsidR="00585D7E" w:rsidRPr="00C66956" w:rsidRDefault="00585D7E" w:rsidP="00585D7E">
      <w:pPr>
        <w:spacing w:after="0"/>
        <w:rPr>
          <w:rFonts w:ascii="Garamond" w:hAnsi="Garamond" w:cs="Times New Roman"/>
        </w:rPr>
      </w:pPr>
    </w:p>
    <w:p w:rsidR="00585D7E" w:rsidRPr="00C66956" w:rsidRDefault="00585D7E" w:rsidP="00585D7E">
      <w:pPr>
        <w:spacing w:after="0"/>
        <w:rPr>
          <w:rFonts w:ascii="Garamond" w:hAnsi="Garamond" w:cs="Times New Roman"/>
        </w:rPr>
      </w:pPr>
      <w:r w:rsidRPr="00C66956">
        <w:rPr>
          <w:rFonts w:ascii="Garamond" w:hAnsi="Garamond" w:cs="Times New Roman"/>
        </w:rPr>
        <w:t>Offsetting these factors are:</w:t>
      </w:r>
    </w:p>
    <w:p w:rsidR="00585D7E" w:rsidRPr="00C66956" w:rsidRDefault="00585D7E" w:rsidP="00585D7E">
      <w:pPr>
        <w:pStyle w:val="ListParagraph"/>
        <w:numPr>
          <w:ilvl w:val="0"/>
          <w:numId w:val="7"/>
        </w:numPr>
        <w:spacing w:after="0"/>
        <w:rPr>
          <w:rFonts w:ascii="Garamond" w:hAnsi="Garamond" w:cs="Times New Roman"/>
        </w:rPr>
      </w:pPr>
      <w:r w:rsidRPr="00C66956">
        <w:rPr>
          <w:rFonts w:ascii="Garamond" w:hAnsi="Garamond" w:cs="Times New Roman"/>
        </w:rPr>
        <w:t>The Plans must be able to meet any unexpected expenses or liabilities.</w:t>
      </w:r>
    </w:p>
    <w:p w:rsidR="00585D7E" w:rsidRPr="00C66956" w:rsidRDefault="00585D7E" w:rsidP="00585D7E">
      <w:pPr>
        <w:pStyle w:val="ListParagraph"/>
        <w:numPr>
          <w:ilvl w:val="0"/>
          <w:numId w:val="7"/>
        </w:numPr>
        <w:spacing w:after="0"/>
        <w:rPr>
          <w:rFonts w:ascii="Garamond" w:hAnsi="Garamond" w:cs="Times New Roman"/>
        </w:rPr>
      </w:pPr>
      <w:r w:rsidRPr="00C66956">
        <w:rPr>
          <w:rFonts w:ascii="Garamond" w:hAnsi="Garamond" w:cs="Times New Roman"/>
        </w:rPr>
        <w:t>The Plans may rely on annual employer and employee cash flows, as well as income generation from its assets to meet current needs or replenish any losses;</w:t>
      </w:r>
    </w:p>
    <w:p w:rsidR="00585D7E" w:rsidRPr="00C66956" w:rsidRDefault="00585D7E" w:rsidP="00585D7E">
      <w:pPr>
        <w:spacing w:after="0"/>
        <w:rPr>
          <w:rFonts w:ascii="Garamond" w:hAnsi="Garamond" w:cs="Times New Roman"/>
        </w:rPr>
      </w:pPr>
    </w:p>
    <w:p w:rsidR="00585D7E" w:rsidRPr="00C66956" w:rsidRDefault="00585D7E" w:rsidP="00585D7E">
      <w:pPr>
        <w:spacing w:after="0"/>
        <w:rPr>
          <w:rFonts w:ascii="Garamond" w:hAnsi="Garamond" w:cs="Times New Roman"/>
        </w:rPr>
      </w:pPr>
      <w:r w:rsidRPr="00C66956">
        <w:rPr>
          <w:rFonts w:ascii="Garamond" w:hAnsi="Garamond" w:cs="Times New Roman"/>
        </w:rPr>
        <w:t>To determine the level of risk, the PBB will</w:t>
      </w:r>
      <w:r w:rsidR="00C946AA">
        <w:rPr>
          <w:rFonts w:ascii="Garamond" w:hAnsi="Garamond" w:cs="Times New Roman"/>
        </w:rPr>
        <w:t>,</w:t>
      </w:r>
      <w:r w:rsidRPr="00C66956">
        <w:rPr>
          <w:rFonts w:ascii="Garamond" w:hAnsi="Garamond" w:cs="Times New Roman"/>
        </w:rPr>
        <w:t xml:space="preserve"> from time to time</w:t>
      </w:r>
      <w:r w:rsidR="00C946AA">
        <w:rPr>
          <w:rFonts w:ascii="Garamond" w:hAnsi="Garamond" w:cs="Times New Roman"/>
        </w:rPr>
        <w:t>,</w:t>
      </w:r>
      <w:r w:rsidRPr="00C66956">
        <w:rPr>
          <w:rFonts w:ascii="Garamond" w:hAnsi="Garamond" w:cs="Times New Roman"/>
        </w:rPr>
        <w:t xml:space="preserve"> perform an asset allocation study to determine which asset allocation will most closely achieve the assumed rate of return within the confines of the risk profile of that asset allocation.</w:t>
      </w:r>
    </w:p>
    <w:p w:rsidR="00585D7E" w:rsidRPr="00C66956" w:rsidRDefault="00585D7E" w:rsidP="00585D7E">
      <w:pPr>
        <w:spacing w:after="0"/>
        <w:rPr>
          <w:rFonts w:ascii="Garamond" w:hAnsi="Garamond" w:cs="Times New Roman"/>
        </w:rPr>
      </w:pPr>
    </w:p>
    <w:p w:rsidR="00585D7E" w:rsidRPr="00C66956" w:rsidRDefault="00585D7E" w:rsidP="006F78A9">
      <w:pPr>
        <w:pStyle w:val="Heading2"/>
        <w:rPr>
          <w:rFonts w:ascii="Garamond" w:hAnsi="Garamond"/>
        </w:rPr>
      </w:pPr>
      <w:bookmarkStart w:id="10" w:name="_Toc7689728"/>
      <w:r w:rsidRPr="00C66956">
        <w:rPr>
          <w:rFonts w:ascii="Garamond" w:hAnsi="Garamond"/>
        </w:rPr>
        <w:t>Investment Objectives</w:t>
      </w:r>
      <w:bookmarkEnd w:id="10"/>
    </w:p>
    <w:p w:rsidR="00585D7E" w:rsidRPr="00C66956" w:rsidRDefault="00585D7E" w:rsidP="00585D7E">
      <w:pPr>
        <w:spacing w:after="0"/>
        <w:rPr>
          <w:rFonts w:ascii="Garamond" w:hAnsi="Garamond" w:cs="Times New Roman"/>
        </w:rPr>
      </w:pPr>
      <w:r w:rsidRPr="00C66956">
        <w:rPr>
          <w:rFonts w:ascii="Garamond" w:hAnsi="Garamond" w:cs="Times New Roman"/>
        </w:rPr>
        <w:t xml:space="preserve">The Plans’ assets should be invested in accordance with sound investment practices that emphasize long-term investment fundamentals. The objectives of the Plans are to maximize long-term returns consistent with prudent levels of risk. Investment returns are expected to provide adequate funds to sufficiently support </w:t>
      </w:r>
      <w:r w:rsidRPr="00C66956">
        <w:rPr>
          <w:rFonts w:ascii="Garamond" w:hAnsi="Garamond" w:cs="Times New Roman"/>
        </w:rPr>
        <w:lastRenderedPageBreak/>
        <w:t>designated needs and preserve or enhance the real value of the Plan. In establishing the investment o</w:t>
      </w:r>
      <w:r w:rsidR="003373D6" w:rsidRPr="00C66956">
        <w:rPr>
          <w:rFonts w:ascii="Garamond" w:hAnsi="Garamond" w:cs="Times New Roman"/>
        </w:rPr>
        <w:t>bjectives of the Plan, the PBB</w:t>
      </w:r>
      <w:r w:rsidRPr="00C66956">
        <w:rPr>
          <w:rFonts w:ascii="Garamond" w:hAnsi="Garamond" w:cs="Times New Roman"/>
        </w:rPr>
        <w:t xml:space="preserve"> has taken into account the time horizon available for investment, the nature of the </w:t>
      </w:r>
      <w:r w:rsidR="003373D6" w:rsidRPr="00C66956">
        <w:rPr>
          <w:rFonts w:ascii="Garamond" w:hAnsi="Garamond" w:cs="Times New Roman"/>
        </w:rPr>
        <w:t>Plans’</w:t>
      </w:r>
      <w:r w:rsidRPr="00C66956">
        <w:rPr>
          <w:rFonts w:ascii="Garamond" w:hAnsi="Garamond" w:cs="Times New Roman"/>
        </w:rPr>
        <w:t xml:space="preserve"> cash flows and liabilities, and other factors that affect the </w:t>
      </w:r>
      <w:r w:rsidR="003373D6" w:rsidRPr="00C66956">
        <w:rPr>
          <w:rFonts w:ascii="Garamond" w:hAnsi="Garamond" w:cs="Times New Roman"/>
        </w:rPr>
        <w:t>Plans’</w:t>
      </w:r>
      <w:r w:rsidRPr="00C66956">
        <w:rPr>
          <w:rFonts w:ascii="Garamond" w:hAnsi="Garamond" w:cs="Times New Roman"/>
        </w:rPr>
        <w:t xml:space="preserve"> risk tolerance as part of the asset allocation study. Accordingly, the investment objective of the Plan</w:t>
      </w:r>
      <w:r w:rsidR="00BD0CFD">
        <w:rPr>
          <w:rFonts w:ascii="Garamond" w:hAnsi="Garamond" w:cs="Times New Roman"/>
        </w:rPr>
        <w:t>s</w:t>
      </w:r>
      <w:r w:rsidRPr="00C66956">
        <w:rPr>
          <w:rFonts w:ascii="Garamond" w:hAnsi="Garamond" w:cs="Times New Roman"/>
        </w:rPr>
        <w:t xml:space="preserve"> is growth and income. This investment objective is a balanced investment approach that is expected to achieve a positive rate of return over the long-ter</w:t>
      </w:r>
      <w:r w:rsidR="00BD0CFD">
        <w:rPr>
          <w:rFonts w:ascii="Garamond" w:hAnsi="Garamond" w:cs="Times New Roman"/>
        </w:rPr>
        <w:t>m that would contribute to the p</w:t>
      </w:r>
      <w:r w:rsidRPr="00C66956">
        <w:rPr>
          <w:rFonts w:ascii="Garamond" w:hAnsi="Garamond" w:cs="Times New Roman"/>
        </w:rPr>
        <w:t>ortfolio’s income needs.</w:t>
      </w:r>
    </w:p>
    <w:p w:rsidR="00585D7E" w:rsidRPr="00C66956" w:rsidRDefault="00585D7E" w:rsidP="00585D7E">
      <w:pPr>
        <w:spacing w:after="0"/>
        <w:rPr>
          <w:rFonts w:ascii="Garamond" w:hAnsi="Garamond" w:cs="Times New Roman"/>
        </w:rPr>
      </w:pPr>
    </w:p>
    <w:p w:rsidR="00585D7E" w:rsidRPr="00C66956" w:rsidRDefault="00585D7E" w:rsidP="006F78A9">
      <w:pPr>
        <w:pStyle w:val="Heading2"/>
        <w:rPr>
          <w:rFonts w:ascii="Garamond" w:hAnsi="Garamond"/>
        </w:rPr>
      </w:pPr>
      <w:bookmarkStart w:id="11" w:name="_Toc7689729"/>
      <w:r w:rsidRPr="00C66956">
        <w:rPr>
          <w:rFonts w:ascii="Garamond" w:hAnsi="Garamond"/>
        </w:rPr>
        <w:t>Return Objectives</w:t>
      </w:r>
      <w:bookmarkEnd w:id="11"/>
    </w:p>
    <w:p w:rsidR="00585D7E" w:rsidRDefault="00585D7E" w:rsidP="00585D7E">
      <w:pPr>
        <w:spacing w:after="0"/>
        <w:rPr>
          <w:rFonts w:ascii="Garamond" w:hAnsi="Garamond" w:cs="Times New Roman"/>
        </w:rPr>
      </w:pPr>
      <w:r w:rsidRPr="00C66956">
        <w:rPr>
          <w:rFonts w:ascii="Garamond" w:hAnsi="Garamond" w:cs="Times New Roman"/>
        </w:rPr>
        <w:t>The return objective is an actuarially determined assumed rate of return net of fees. The assumption for this rate of return will be set on an annual basis as part of the actuarial valuation process.</w:t>
      </w:r>
    </w:p>
    <w:p w:rsidR="00884DB1" w:rsidRDefault="00884DB1" w:rsidP="00585D7E">
      <w:pPr>
        <w:spacing w:after="0"/>
        <w:rPr>
          <w:rFonts w:ascii="Garamond" w:hAnsi="Garamond" w:cs="Times New Roman"/>
        </w:rPr>
      </w:pPr>
    </w:p>
    <w:p w:rsidR="00884DB1" w:rsidRDefault="00884DB1" w:rsidP="00585D7E">
      <w:pPr>
        <w:spacing w:after="0"/>
        <w:rPr>
          <w:rFonts w:ascii="Garamond" w:hAnsi="Garamond" w:cs="Times New Roman"/>
        </w:rPr>
      </w:pPr>
      <w:r>
        <w:rPr>
          <w:rFonts w:ascii="Garamond" w:hAnsi="Garamond" w:cs="Times New Roman"/>
        </w:rPr>
        <w:tab/>
        <w:t>Town Plan Assumed Rate:</w:t>
      </w:r>
      <w:r>
        <w:rPr>
          <w:rFonts w:ascii="Garamond" w:hAnsi="Garamond" w:cs="Times New Roman"/>
        </w:rPr>
        <w:tab/>
        <w:t>7.25%</w:t>
      </w:r>
      <w:r>
        <w:rPr>
          <w:rFonts w:ascii="Garamond" w:hAnsi="Garamond" w:cs="Times New Roman"/>
        </w:rPr>
        <w:tab/>
      </w:r>
      <w:r>
        <w:rPr>
          <w:rFonts w:ascii="Garamond" w:hAnsi="Garamond" w:cs="Times New Roman"/>
        </w:rPr>
        <w:tab/>
        <w:t xml:space="preserve">Approved on: </w:t>
      </w:r>
      <w:r>
        <w:rPr>
          <w:rFonts w:ascii="Garamond" w:hAnsi="Garamond" w:cs="Times New Roman"/>
        </w:rPr>
        <w:tab/>
        <w:t>February 2019</w:t>
      </w:r>
    </w:p>
    <w:p w:rsidR="00884DB1" w:rsidRPr="00C66956" w:rsidRDefault="00884DB1" w:rsidP="00585D7E">
      <w:pPr>
        <w:spacing w:after="0"/>
        <w:rPr>
          <w:rFonts w:ascii="Garamond" w:hAnsi="Garamond" w:cs="Times New Roman"/>
        </w:rPr>
      </w:pPr>
      <w:r>
        <w:rPr>
          <w:rFonts w:ascii="Garamond" w:hAnsi="Garamond" w:cs="Times New Roman"/>
        </w:rPr>
        <w:tab/>
        <w:t>Fire Plan Assumed Rate:</w:t>
      </w:r>
      <w:r>
        <w:rPr>
          <w:rFonts w:ascii="Garamond" w:hAnsi="Garamond" w:cs="Times New Roman"/>
        </w:rPr>
        <w:tab/>
      </w:r>
      <w:r>
        <w:rPr>
          <w:rFonts w:ascii="Garamond" w:hAnsi="Garamond" w:cs="Times New Roman"/>
        </w:rPr>
        <w:tab/>
        <w:t>7.50%</w:t>
      </w:r>
      <w:r>
        <w:rPr>
          <w:rFonts w:ascii="Garamond" w:hAnsi="Garamond" w:cs="Times New Roman"/>
        </w:rPr>
        <w:tab/>
      </w:r>
      <w:r>
        <w:rPr>
          <w:rFonts w:ascii="Garamond" w:hAnsi="Garamond" w:cs="Times New Roman"/>
        </w:rPr>
        <w:tab/>
        <w:t>Approved on:</w:t>
      </w:r>
      <w:r>
        <w:rPr>
          <w:rFonts w:ascii="Garamond" w:hAnsi="Garamond" w:cs="Times New Roman"/>
        </w:rPr>
        <w:tab/>
        <w:t>February 2018</w:t>
      </w:r>
    </w:p>
    <w:p w:rsidR="00C66F79" w:rsidRPr="00C66956" w:rsidRDefault="00C66F79" w:rsidP="00585D7E">
      <w:pPr>
        <w:spacing w:after="0"/>
        <w:rPr>
          <w:rFonts w:ascii="Garamond" w:hAnsi="Garamond" w:cs="Times New Roman"/>
        </w:rPr>
      </w:pPr>
    </w:p>
    <w:p w:rsidR="00C66F79" w:rsidRPr="00C66956" w:rsidRDefault="00C66F79" w:rsidP="006F78A9">
      <w:pPr>
        <w:pStyle w:val="Heading1"/>
        <w:numPr>
          <w:ilvl w:val="0"/>
          <w:numId w:val="16"/>
        </w:numPr>
        <w:rPr>
          <w:rFonts w:ascii="Garamond" w:hAnsi="Garamond"/>
        </w:rPr>
      </w:pPr>
      <w:bookmarkStart w:id="12" w:name="_Toc7689730"/>
      <w:r w:rsidRPr="00C66956">
        <w:rPr>
          <w:rFonts w:ascii="Garamond" w:hAnsi="Garamond"/>
        </w:rPr>
        <w:t>Asset Allocation Strategy</w:t>
      </w:r>
      <w:bookmarkEnd w:id="12"/>
    </w:p>
    <w:p w:rsidR="00C66F79" w:rsidRPr="00C66956" w:rsidRDefault="00C66F79" w:rsidP="00C66F79">
      <w:pPr>
        <w:spacing w:after="0"/>
        <w:rPr>
          <w:rFonts w:ascii="Garamond" w:hAnsi="Garamond" w:cs="Times New Roman"/>
        </w:rPr>
      </w:pPr>
    </w:p>
    <w:p w:rsidR="00C66F79" w:rsidRPr="00C66956" w:rsidRDefault="00C66F79" w:rsidP="00C66F79">
      <w:pPr>
        <w:spacing w:after="0"/>
        <w:rPr>
          <w:rFonts w:ascii="Garamond" w:hAnsi="Garamond" w:cs="Times New Roman"/>
        </w:rPr>
      </w:pPr>
      <w:r w:rsidRPr="00C66956">
        <w:rPr>
          <w:rFonts w:ascii="Garamond" w:hAnsi="Garamond" w:cs="Times New Roman"/>
        </w:rPr>
        <w:t xml:space="preserve">In line with the Plans’ return objectives and risk parameters, and asset allocation study, the overall target mix of assets is 60% equities, 40% fixed income (inclusive of cash) and should be maintained as follows (percentages are of the market value of the </w:t>
      </w:r>
      <w:r w:rsidR="003373D6" w:rsidRPr="00C66956">
        <w:rPr>
          <w:rFonts w:ascii="Garamond" w:hAnsi="Garamond" w:cs="Times New Roman"/>
        </w:rPr>
        <w:t>Plans’</w:t>
      </w:r>
      <w:r w:rsidRPr="00C66956">
        <w:rPr>
          <w:rFonts w:ascii="Garamond" w:hAnsi="Garamond" w:cs="Times New Roman"/>
        </w:rPr>
        <w:t xml:space="preserve"> investments):</w:t>
      </w:r>
    </w:p>
    <w:p w:rsidR="00BD54C8" w:rsidRPr="00C66956" w:rsidRDefault="00BD54C8" w:rsidP="00C66F79">
      <w:pPr>
        <w:spacing w:after="0"/>
        <w:rPr>
          <w:rFonts w:ascii="Garamond" w:hAnsi="Garamond" w:cs="Times New Roman"/>
        </w:rPr>
      </w:pPr>
    </w:p>
    <w:p w:rsidR="00BD54C8" w:rsidRPr="00C66956" w:rsidRDefault="00BD54C8" w:rsidP="006F78A9">
      <w:pPr>
        <w:pStyle w:val="Heading2"/>
        <w:rPr>
          <w:rFonts w:ascii="Garamond" w:hAnsi="Garamond"/>
        </w:rPr>
      </w:pPr>
      <w:bookmarkStart w:id="13" w:name="_Toc7689731"/>
      <w:r w:rsidRPr="00C66956">
        <w:rPr>
          <w:rFonts w:ascii="Garamond" w:hAnsi="Garamond"/>
        </w:rPr>
        <w:t>Town Plan Asset Allocation</w:t>
      </w:r>
      <w:bookmarkEnd w:id="13"/>
    </w:p>
    <w:p w:rsidR="00C66F79" w:rsidRPr="00C66956" w:rsidRDefault="00C66F79" w:rsidP="00C66F79">
      <w:pPr>
        <w:spacing w:after="0"/>
        <w:rPr>
          <w:rFonts w:ascii="Garamond" w:hAnsi="Garamond" w:cs="Times New Roman"/>
        </w:rPr>
      </w:pPr>
    </w:p>
    <w:tbl>
      <w:tblPr>
        <w:tblStyle w:val="TableGrid"/>
        <w:tblW w:w="0" w:type="auto"/>
        <w:tblLook w:val="04A0" w:firstRow="1" w:lastRow="0" w:firstColumn="1" w:lastColumn="0" w:noHBand="0" w:noVBand="1"/>
      </w:tblPr>
      <w:tblGrid>
        <w:gridCol w:w="2504"/>
        <w:gridCol w:w="1156"/>
        <w:gridCol w:w="840"/>
        <w:gridCol w:w="1188"/>
        <w:gridCol w:w="1080"/>
        <w:gridCol w:w="2808"/>
      </w:tblGrid>
      <w:tr w:rsidR="00B24E0F" w:rsidRPr="00C66956" w:rsidTr="00BD0CFD">
        <w:tc>
          <w:tcPr>
            <w:tcW w:w="2504" w:type="dxa"/>
            <w:shd w:val="clear" w:color="auto" w:fill="8DB3E2" w:themeFill="text2" w:themeFillTint="66"/>
          </w:tcPr>
          <w:p w:rsidR="00C66F79" w:rsidRPr="00BD0CFD" w:rsidRDefault="00C66F79" w:rsidP="00C66F79">
            <w:pPr>
              <w:rPr>
                <w:rFonts w:ascii="Garamond" w:hAnsi="Garamond" w:cs="Times New Roman"/>
                <w:b/>
              </w:rPr>
            </w:pPr>
            <w:r w:rsidRPr="00BD0CFD">
              <w:rPr>
                <w:rFonts w:ascii="Garamond" w:hAnsi="Garamond" w:cs="Times New Roman"/>
                <w:b/>
              </w:rPr>
              <w:t>Asset Class</w:t>
            </w:r>
          </w:p>
        </w:tc>
        <w:tc>
          <w:tcPr>
            <w:tcW w:w="1156" w:type="dxa"/>
            <w:shd w:val="clear" w:color="auto" w:fill="8DB3E2" w:themeFill="text2" w:themeFillTint="66"/>
          </w:tcPr>
          <w:p w:rsidR="00C66F79" w:rsidRPr="00BD0CFD" w:rsidRDefault="00C66F79" w:rsidP="00C66F79">
            <w:pPr>
              <w:rPr>
                <w:rFonts w:ascii="Garamond" w:hAnsi="Garamond" w:cs="Times New Roman"/>
                <w:b/>
              </w:rPr>
            </w:pPr>
            <w:r w:rsidRPr="00BD0CFD">
              <w:rPr>
                <w:rFonts w:ascii="Garamond" w:hAnsi="Garamond" w:cs="Times New Roman"/>
                <w:b/>
              </w:rPr>
              <w:t>Minimum</w:t>
            </w:r>
          </w:p>
        </w:tc>
        <w:tc>
          <w:tcPr>
            <w:tcW w:w="840" w:type="dxa"/>
            <w:shd w:val="clear" w:color="auto" w:fill="8DB3E2" w:themeFill="text2" w:themeFillTint="66"/>
          </w:tcPr>
          <w:p w:rsidR="00C66F79" w:rsidRPr="00BD0CFD" w:rsidRDefault="00C66F79" w:rsidP="00C66F79">
            <w:pPr>
              <w:rPr>
                <w:rFonts w:ascii="Garamond" w:hAnsi="Garamond" w:cs="Times New Roman"/>
                <w:b/>
              </w:rPr>
            </w:pPr>
            <w:r w:rsidRPr="00BD0CFD">
              <w:rPr>
                <w:rFonts w:ascii="Garamond" w:hAnsi="Garamond" w:cs="Times New Roman"/>
                <w:b/>
              </w:rPr>
              <w:t>Target</w:t>
            </w:r>
          </w:p>
        </w:tc>
        <w:tc>
          <w:tcPr>
            <w:tcW w:w="1188" w:type="dxa"/>
            <w:shd w:val="clear" w:color="auto" w:fill="8DB3E2" w:themeFill="text2" w:themeFillTint="66"/>
          </w:tcPr>
          <w:p w:rsidR="00C66F79" w:rsidRPr="00BD0CFD" w:rsidRDefault="00C66F79" w:rsidP="00C66F79">
            <w:pPr>
              <w:rPr>
                <w:rFonts w:ascii="Garamond" w:hAnsi="Garamond" w:cs="Times New Roman"/>
                <w:b/>
              </w:rPr>
            </w:pPr>
            <w:r w:rsidRPr="00BD0CFD">
              <w:rPr>
                <w:rFonts w:ascii="Garamond" w:hAnsi="Garamond" w:cs="Times New Roman"/>
                <w:b/>
              </w:rPr>
              <w:t>Maximum</w:t>
            </w:r>
          </w:p>
        </w:tc>
        <w:tc>
          <w:tcPr>
            <w:tcW w:w="1080" w:type="dxa"/>
            <w:shd w:val="clear" w:color="auto" w:fill="8DB3E2" w:themeFill="text2" w:themeFillTint="66"/>
          </w:tcPr>
          <w:p w:rsidR="00C66F79" w:rsidRPr="00BD0CFD" w:rsidRDefault="00C66F79" w:rsidP="00C66F79">
            <w:pPr>
              <w:rPr>
                <w:rFonts w:ascii="Garamond" w:hAnsi="Garamond" w:cs="Times New Roman"/>
                <w:b/>
              </w:rPr>
            </w:pPr>
            <w:r w:rsidRPr="00BD0CFD">
              <w:rPr>
                <w:rFonts w:ascii="Garamond" w:hAnsi="Garamond" w:cs="Times New Roman"/>
                <w:b/>
              </w:rPr>
              <w:t>Preferred Strategy</w:t>
            </w:r>
          </w:p>
        </w:tc>
        <w:tc>
          <w:tcPr>
            <w:tcW w:w="2808" w:type="dxa"/>
            <w:shd w:val="clear" w:color="auto" w:fill="8DB3E2" w:themeFill="text2" w:themeFillTint="66"/>
          </w:tcPr>
          <w:p w:rsidR="00C66F79" w:rsidRPr="00BD0CFD" w:rsidRDefault="00C66F79" w:rsidP="00C66F79">
            <w:pPr>
              <w:rPr>
                <w:rFonts w:ascii="Garamond" w:hAnsi="Garamond" w:cs="Times New Roman"/>
                <w:b/>
              </w:rPr>
            </w:pPr>
            <w:r w:rsidRPr="00BD0CFD">
              <w:rPr>
                <w:rFonts w:ascii="Garamond" w:hAnsi="Garamond" w:cs="Times New Roman"/>
                <w:b/>
              </w:rPr>
              <w:t>Benchmark</w:t>
            </w:r>
          </w:p>
        </w:tc>
      </w:tr>
      <w:tr w:rsidR="00B24E0F" w:rsidRPr="00C66956" w:rsidTr="00BD0CFD">
        <w:tc>
          <w:tcPr>
            <w:tcW w:w="2504" w:type="dxa"/>
          </w:tcPr>
          <w:p w:rsidR="00C66F79" w:rsidRPr="00C66956" w:rsidRDefault="00C66F79" w:rsidP="00C66F79">
            <w:pPr>
              <w:rPr>
                <w:rFonts w:ascii="Garamond" w:hAnsi="Garamond" w:cs="Times New Roman"/>
              </w:rPr>
            </w:pPr>
            <w:r w:rsidRPr="00C66956">
              <w:rPr>
                <w:rFonts w:ascii="Garamond" w:hAnsi="Garamond" w:cs="Times New Roman"/>
              </w:rPr>
              <w:t>US Large Cap</w:t>
            </w:r>
          </w:p>
        </w:tc>
        <w:tc>
          <w:tcPr>
            <w:tcW w:w="1156" w:type="dxa"/>
          </w:tcPr>
          <w:p w:rsidR="00C66F79" w:rsidRPr="00C66956" w:rsidRDefault="00C66F79" w:rsidP="00C66F79">
            <w:pPr>
              <w:rPr>
                <w:rFonts w:ascii="Garamond" w:hAnsi="Garamond" w:cs="Times New Roman"/>
              </w:rPr>
            </w:pPr>
            <w:r w:rsidRPr="00C66956">
              <w:rPr>
                <w:rFonts w:ascii="Garamond" w:hAnsi="Garamond" w:cs="Times New Roman"/>
              </w:rPr>
              <w:t>21%</w:t>
            </w:r>
          </w:p>
        </w:tc>
        <w:tc>
          <w:tcPr>
            <w:tcW w:w="840" w:type="dxa"/>
          </w:tcPr>
          <w:p w:rsidR="00C66F79" w:rsidRPr="00C66956" w:rsidRDefault="00C66F79" w:rsidP="00C66F79">
            <w:pPr>
              <w:rPr>
                <w:rFonts w:ascii="Garamond" w:hAnsi="Garamond" w:cs="Times New Roman"/>
              </w:rPr>
            </w:pPr>
            <w:r w:rsidRPr="00C66956">
              <w:rPr>
                <w:rFonts w:ascii="Garamond" w:hAnsi="Garamond" w:cs="Times New Roman"/>
              </w:rPr>
              <w:t>30%</w:t>
            </w:r>
          </w:p>
        </w:tc>
        <w:tc>
          <w:tcPr>
            <w:tcW w:w="1188" w:type="dxa"/>
          </w:tcPr>
          <w:p w:rsidR="00C66F79" w:rsidRPr="00C66956" w:rsidRDefault="00C66F79" w:rsidP="00C66F79">
            <w:pPr>
              <w:rPr>
                <w:rFonts w:ascii="Garamond" w:hAnsi="Garamond" w:cs="Times New Roman"/>
              </w:rPr>
            </w:pPr>
            <w:r w:rsidRPr="00C66956">
              <w:rPr>
                <w:rFonts w:ascii="Garamond" w:hAnsi="Garamond" w:cs="Times New Roman"/>
              </w:rPr>
              <w:t>39%</w:t>
            </w:r>
          </w:p>
        </w:tc>
        <w:tc>
          <w:tcPr>
            <w:tcW w:w="1080" w:type="dxa"/>
          </w:tcPr>
          <w:p w:rsidR="00C66F79" w:rsidRPr="00C66956" w:rsidRDefault="00C66F79" w:rsidP="00C66F79">
            <w:pPr>
              <w:rPr>
                <w:rFonts w:ascii="Garamond" w:hAnsi="Garamond" w:cs="Times New Roman"/>
              </w:rPr>
            </w:pPr>
            <w:r w:rsidRPr="00C66956">
              <w:rPr>
                <w:rFonts w:ascii="Garamond" w:hAnsi="Garamond" w:cs="Times New Roman"/>
              </w:rPr>
              <w:t>Passive</w:t>
            </w:r>
          </w:p>
        </w:tc>
        <w:tc>
          <w:tcPr>
            <w:tcW w:w="2808" w:type="dxa"/>
          </w:tcPr>
          <w:p w:rsidR="00C66F79" w:rsidRPr="00C66956" w:rsidRDefault="00C66F79" w:rsidP="00C66F79">
            <w:pPr>
              <w:rPr>
                <w:rFonts w:ascii="Garamond" w:hAnsi="Garamond" w:cs="Times New Roman"/>
              </w:rPr>
            </w:pPr>
            <w:r w:rsidRPr="00C66956">
              <w:rPr>
                <w:rFonts w:ascii="Garamond" w:hAnsi="Garamond" w:cs="Times New Roman"/>
              </w:rPr>
              <w:t>S&amp;P 500</w:t>
            </w:r>
          </w:p>
        </w:tc>
      </w:tr>
      <w:tr w:rsidR="00B24E0F" w:rsidRPr="00C66956" w:rsidTr="00BD0CFD">
        <w:tc>
          <w:tcPr>
            <w:tcW w:w="2504" w:type="dxa"/>
          </w:tcPr>
          <w:p w:rsidR="00C66F79" w:rsidRPr="00C66956" w:rsidRDefault="00C66F79" w:rsidP="00C66F79">
            <w:pPr>
              <w:rPr>
                <w:rFonts w:ascii="Garamond" w:hAnsi="Garamond" w:cs="Times New Roman"/>
              </w:rPr>
            </w:pPr>
            <w:r w:rsidRPr="00C66956">
              <w:rPr>
                <w:rFonts w:ascii="Garamond" w:hAnsi="Garamond" w:cs="Times New Roman"/>
              </w:rPr>
              <w:t>Mid Cap</w:t>
            </w:r>
          </w:p>
        </w:tc>
        <w:tc>
          <w:tcPr>
            <w:tcW w:w="1156" w:type="dxa"/>
          </w:tcPr>
          <w:p w:rsidR="00C66F79" w:rsidRPr="00C66956" w:rsidRDefault="00BD0CFD" w:rsidP="00C66F79">
            <w:pPr>
              <w:rPr>
                <w:rFonts w:ascii="Garamond" w:hAnsi="Garamond" w:cs="Times New Roman"/>
              </w:rPr>
            </w:pPr>
            <w:r>
              <w:rPr>
                <w:rFonts w:ascii="Garamond" w:hAnsi="Garamond" w:cs="Times New Roman"/>
              </w:rPr>
              <w:t>5</w:t>
            </w:r>
            <w:r w:rsidR="00C66F79" w:rsidRPr="00C66956">
              <w:rPr>
                <w:rFonts w:ascii="Garamond" w:hAnsi="Garamond" w:cs="Times New Roman"/>
              </w:rPr>
              <w:t>%</w:t>
            </w:r>
          </w:p>
        </w:tc>
        <w:tc>
          <w:tcPr>
            <w:tcW w:w="840" w:type="dxa"/>
          </w:tcPr>
          <w:p w:rsidR="00C66F79" w:rsidRPr="00C66956" w:rsidRDefault="00C66F79" w:rsidP="00C66F79">
            <w:pPr>
              <w:rPr>
                <w:rFonts w:ascii="Garamond" w:hAnsi="Garamond" w:cs="Times New Roman"/>
              </w:rPr>
            </w:pPr>
            <w:r w:rsidRPr="00C66956">
              <w:rPr>
                <w:rFonts w:ascii="Garamond" w:hAnsi="Garamond" w:cs="Times New Roman"/>
              </w:rPr>
              <w:t>7%</w:t>
            </w:r>
          </w:p>
        </w:tc>
        <w:tc>
          <w:tcPr>
            <w:tcW w:w="1188" w:type="dxa"/>
          </w:tcPr>
          <w:p w:rsidR="00C66F79" w:rsidRPr="00C66956" w:rsidRDefault="00BD0CFD" w:rsidP="00C66F79">
            <w:pPr>
              <w:rPr>
                <w:rFonts w:ascii="Garamond" w:hAnsi="Garamond" w:cs="Times New Roman"/>
              </w:rPr>
            </w:pPr>
            <w:r>
              <w:rPr>
                <w:rFonts w:ascii="Garamond" w:hAnsi="Garamond" w:cs="Times New Roman"/>
              </w:rPr>
              <w:t>9</w:t>
            </w:r>
            <w:r w:rsidR="00C66F79" w:rsidRPr="00C66956">
              <w:rPr>
                <w:rFonts w:ascii="Garamond" w:hAnsi="Garamond" w:cs="Times New Roman"/>
              </w:rPr>
              <w:t>%</w:t>
            </w:r>
          </w:p>
        </w:tc>
        <w:tc>
          <w:tcPr>
            <w:tcW w:w="1080" w:type="dxa"/>
          </w:tcPr>
          <w:p w:rsidR="00C66F79" w:rsidRPr="00C66956" w:rsidRDefault="00C66F79" w:rsidP="00C66F79">
            <w:pPr>
              <w:rPr>
                <w:rFonts w:ascii="Garamond" w:hAnsi="Garamond" w:cs="Times New Roman"/>
              </w:rPr>
            </w:pPr>
            <w:r w:rsidRPr="00C66956">
              <w:rPr>
                <w:rFonts w:ascii="Garamond" w:hAnsi="Garamond" w:cs="Times New Roman"/>
              </w:rPr>
              <w:t>Passive</w:t>
            </w:r>
          </w:p>
        </w:tc>
        <w:tc>
          <w:tcPr>
            <w:tcW w:w="2808" w:type="dxa"/>
          </w:tcPr>
          <w:p w:rsidR="00C66F79" w:rsidRPr="00C66956" w:rsidRDefault="00C66F79" w:rsidP="00C66F79">
            <w:pPr>
              <w:rPr>
                <w:rFonts w:ascii="Garamond" w:hAnsi="Garamond" w:cs="Times New Roman"/>
              </w:rPr>
            </w:pPr>
            <w:r w:rsidRPr="00C66956">
              <w:rPr>
                <w:rFonts w:ascii="Garamond" w:hAnsi="Garamond" w:cs="Times New Roman"/>
              </w:rPr>
              <w:t>Russell Mid Cap</w:t>
            </w:r>
          </w:p>
        </w:tc>
      </w:tr>
      <w:tr w:rsidR="00B24E0F" w:rsidRPr="00C66956" w:rsidTr="00BD0CFD">
        <w:tc>
          <w:tcPr>
            <w:tcW w:w="2504" w:type="dxa"/>
          </w:tcPr>
          <w:p w:rsidR="00C66F79" w:rsidRPr="00C66956" w:rsidRDefault="00C66F79" w:rsidP="00C66F79">
            <w:pPr>
              <w:rPr>
                <w:rFonts w:ascii="Garamond" w:hAnsi="Garamond" w:cs="Times New Roman"/>
              </w:rPr>
            </w:pPr>
            <w:r w:rsidRPr="00C66956">
              <w:rPr>
                <w:rFonts w:ascii="Garamond" w:hAnsi="Garamond" w:cs="Times New Roman"/>
              </w:rPr>
              <w:t>Small Cap</w:t>
            </w:r>
          </w:p>
        </w:tc>
        <w:tc>
          <w:tcPr>
            <w:tcW w:w="1156" w:type="dxa"/>
          </w:tcPr>
          <w:p w:rsidR="00C66F79" w:rsidRPr="00C66956" w:rsidRDefault="00C66F79" w:rsidP="00C66F79">
            <w:pPr>
              <w:rPr>
                <w:rFonts w:ascii="Garamond" w:hAnsi="Garamond" w:cs="Times New Roman"/>
              </w:rPr>
            </w:pPr>
            <w:r w:rsidRPr="00C66956">
              <w:rPr>
                <w:rFonts w:ascii="Garamond" w:hAnsi="Garamond" w:cs="Times New Roman"/>
              </w:rPr>
              <w:t>2%</w:t>
            </w:r>
          </w:p>
        </w:tc>
        <w:tc>
          <w:tcPr>
            <w:tcW w:w="840" w:type="dxa"/>
          </w:tcPr>
          <w:p w:rsidR="00C66F79" w:rsidRPr="00C66956" w:rsidRDefault="00C66F79" w:rsidP="00C66F79">
            <w:pPr>
              <w:rPr>
                <w:rFonts w:ascii="Garamond" w:hAnsi="Garamond" w:cs="Times New Roman"/>
              </w:rPr>
            </w:pPr>
            <w:r w:rsidRPr="00C66956">
              <w:rPr>
                <w:rFonts w:ascii="Garamond" w:hAnsi="Garamond" w:cs="Times New Roman"/>
              </w:rPr>
              <w:t>3%</w:t>
            </w:r>
          </w:p>
        </w:tc>
        <w:tc>
          <w:tcPr>
            <w:tcW w:w="1188" w:type="dxa"/>
          </w:tcPr>
          <w:p w:rsidR="00C66F79" w:rsidRPr="00C66956" w:rsidRDefault="00C66F79" w:rsidP="00C66F79">
            <w:pPr>
              <w:rPr>
                <w:rFonts w:ascii="Garamond" w:hAnsi="Garamond" w:cs="Times New Roman"/>
              </w:rPr>
            </w:pPr>
            <w:r w:rsidRPr="00C66956">
              <w:rPr>
                <w:rFonts w:ascii="Garamond" w:hAnsi="Garamond" w:cs="Times New Roman"/>
              </w:rPr>
              <w:t>4%</w:t>
            </w:r>
          </w:p>
        </w:tc>
        <w:tc>
          <w:tcPr>
            <w:tcW w:w="1080" w:type="dxa"/>
          </w:tcPr>
          <w:p w:rsidR="00C66F79" w:rsidRPr="00C66956" w:rsidRDefault="00C66F79" w:rsidP="00C66F79">
            <w:pPr>
              <w:rPr>
                <w:rFonts w:ascii="Garamond" w:hAnsi="Garamond" w:cs="Times New Roman"/>
              </w:rPr>
            </w:pPr>
            <w:r w:rsidRPr="00C66956">
              <w:rPr>
                <w:rFonts w:ascii="Garamond" w:hAnsi="Garamond" w:cs="Times New Roman"/>
              </w:rPr>
              <w:t>Passive</w:t>
            </w:r>
          </w:p>
        </w:tc>
        <w:tc>
          <w:tcPr>
            <w:tcW w:w="2808" w:type="dxa"/>
          </w:tcPr>
          <w:p w:rsidR="00C66F79" w:rsidRPr="00C66956" w:rsidRDefault="00C66F79" w:rsidP="00C66F79">
            <w:pPr>
              <w:rPr>
                <w:rFonts w:ascii="Garamond" w:hAnsi="Garamond" w:cs="Times New Roman"/>
              </w:rPr>
            </w:pPr>
            <w:r w:rsidRPr="00C66956">
              <w:rPr>
                <w:rFonts w:ascii="Garamond" w:hAnsi="Garamond" w:cs="Times New Roman"/>
              </w:rPr>
              <w:t>Russell 2000</w:t>
            </w:r>
          </w:p>
        </w:tc>
      </w:tr>
      <w:tr w:rsidR="00B24E0F" w:rsidRPr="00C66956" w:rsidTr="00BD0CFD">
        <w:tc>
          <w:tcPr>
            <w:tcW w:w="2504" w:type="dxa"/>
          </w:tcPr>
          <w:p w:rsidR="00C66F79" w:rsidRPr="00C66956" w:rsidRDefault="00C66F79" w:rsidP="00C66F79">
            <w:pPr>
              <w:rPr>
                <w:rFonts w:ascii="Garamond" w:hAnsi="Garamond" w:cs="Times New Roman"/>
              </w:rPr>
            </w:pPr>
            <w:r w:rsidRPr="00C66956">
              <w:rPr>
                <w:rFonts w:ascii="Garamond" w:hAnsi="Garamond" w:cs="Times New Roman"/>
              </w:rPr>
              <w:t>Dev Market International Equity</w:t>
            </w:r>
          </w:p>
        </w:tc>
        <w:tc>
          <w:tcPr>
            <w:tcW w:w="1156" w:type="dxa"/>
          </w:tcPr>
          <w:p w:rsidR="00C66F79" w:rsidRPr="00C66956" w:rsidRDefault="00C66F79" w:rsidP="00C66F79">
            <w:pPr>
              <w:rPr>
                <w:rFonts w:ascii="Garamond" w:hAnsi="Garamond" w:cs="Times New Roman"/>
              </w:rPr>
            </w:pPr>
            <w:r w:rsidRPr="00C66956">
              <w:rPr>
                <w:rFonts w:ascii="Garamond" w:hAnsi="Garamond" w:cs="Times New Roman"/>
              </w:rPr>
              <w:t>7%</w:t>
            </w:r>
          </w:p>
        </w:tc>
        <w:tc>
          <w:tcPr>
            <w:tcW w:w="840" w:type="dxa"/>
          </w:tcPr>
          <w:p w:rsidR="00C66F79" w:rsidRPr="00C66956" w:rsidRDefault="00C66F79" w:rsidP="00C66F79">
            <w:pPr>
              <w:rPr>
                <w:rFonts w:ascii="Garamond" w:hAnsi="Garamond" w:cs="Times New Roman"/>
              </w:rPr>
            </w:pPr>
            <w:r w:rsidRPr="00C66956">
              <w:rPr>
                <w:rFonts w:ascii="Garamond" w:hAnsi="Garamond" w:cs="Times New Roman"/>
              </w:rPr>
              <w:t>10%</w:t>
            </w:r>
          </w:p>
        </w:tc>
        <w:tc>
          <w:tcPr>
            <w:tcW w:w="1188" w:type="dxa"/>
          </w:tcPr>
          <w:p w:rsidR="00C66F79" w:rsidRPr="00C66956" w:rsidRDefault="00C66F79" w:rsidP="00C66F79">
            <w:pPr>
              <w:rPr>
                <w:rFonts w:ascii="Garamond" w:hAnsi="Garamond" w:cs="Times New Roman"/>
              </w:rPr>
            </w:pPr>
            <w:r w:rsidRPr="00C66956">
              <w:rPr>
                <w:rFonts w:ascii="Garamond" w:hAnsi="Garamond" w:cs="Times New Roman"/>
              </w:rPr>
              <w:t>13%</w:t>
            </w:r>
          </w:p>
        </w:tc>
        <w:tc>
          <w:tcPr>
            <w:tcW w:w="1080" w:type="dxa"/>
          </w:tcPr>
          <w:p w:rsidR="00C66F79" w:rsidRPr="00C66956" w:rsidRDefault="00C66F79" w:rsidP="00C66F79">
            <w:pPr>
              <w:rPr>
                <w:rFonts w:ascii="Garamond" w:hAnsi="Garamond" w:cs="Times New Roman"/>
              </w:rPr>
            </w:pPr>
            <w:r w:rsidRPr="00C66956">
              <w:rPr>
                <w:rFonts w:ascii="Garamond" w:hAnsi="Garamond" w:cs="Times New Roman"/>
              </w:rPr>
              <w:t>Active</w:t>
            </w:r>
          </w:p>
        </w:tc>
        <w:tc>
          <w:tcPr>
            <w:tcW w:w="2808" w:type="dxa"/>
          </w:tcPr>
          <w:p w:rsidR="00C66F79" w:rsidRPr="00C66956" w:rsidRDefault="00C66F79" w:rsidP="00C66F79">
            <w:pPr>
              <w:rPr>
                <w:rFonts w:ascii="Garamond" w:hAnsi="Garamond" w:cs="Times New Roman"/>
              </w:rPr>
            </w:pPr>
            <w:r w:rsidRPr="00C66956">
              <w:rPr>
                <w:rFonts w:ascii="Garamond" w:hAnsi="Garamond" w:cs="Times New Roman"/>
              </w:rPr>
              <w:t xml:space="preserve">MSCI EAFE </w:t>
            </w:r>
            <w:r w:rsidRPr="00C66956">
              <w:rPr>
                <w:rFonts w:ascii="Garamond" w:hAnsi="Garamond" w:cs="Times New Roman"/>
                <w:sz w:val="20"/>
                <w:szCs w:val="20"/>
              </w:rPr>
              <w:t>(net total return)</w:t>
            </w:r>
          </w:p>
        </w:tc>
      </w:tr>
      <w:tr w:rsidR="00B24E0F" w:rsidRPr="00C66956" w:rsidTr="00BD0CFD">
        <w:tc>
          <w:tcPr>
            <w:tcW w:w="2504" w:type="dxa"/>
          </w:tcPr>
          <w:p w:rsidR="00C66F79" w:rsidRPr="00C66956" w:rsidRDefault="00B24E0F" w:rsidP="00C66F79">
            <w:pPr>
              <w:rPr>
                <w:rFonts w:ascii="Garamond" w:hAnsi="Garamond" w:cs="Times New Roman"/>
              </w:rPr>
            </w:pPr>
            <w:r w:rsidRPr="00C66956">
              <w:rPr>
                <w:rFonts w:ascii="Garamond" w:hAnsi="Garamond" w:cs="Times New Roman"/>
              </w:rPr>
              <w:t>Emerging Market Equity</w:t>
            </w:r>
          </w:p>
        </w:tc>
        <w:tc>
          <w:tcPr>
            <w:tcW w:w="1156" w:type="dxa"/>
          </w:tcPr>
          <w:p w:rsidR="00C66F79" w:rsidRPr="00C66956" w:rsidRDefault="00B24E0F" w:rsidP="00C66F79">
            <w:pPr>
              <w:rPr>
                <w:rFonts w:ascii="Garamond" w:hAnsi="Garamond" w:cs="Times New Roman"/>
              </w:rPr>
            </w:pPr>
            <w:r w:rsidRPr="00C66956">
              <w:rPr>
                <w:rFonts w:ascii="Garamond" w:hAnsi="Garamond" w:cs="Times New Roman"/>
              </w:rPr>
              <w:t>7%</w:t>
            </w:r>
          </w:p>
        </w:tc>
        <w:tc>
          <w:tcPr>
            <w:tcW w:w="840" w:type="dxa"/>
          </w:tcPr>
          <w:p w:rsidR="00C66F79" w:rsidRPr="00C66956" w:rsidRDefault="00B24E0F" w:rsidP="00C66F79">
            <w:pPr>
              <w:rPr>
                <w:rFonts w:ascii="Garamond" w:hAnsi="Garamond" w:cs="Times New Roman"/>
              </w:rPr>
            </w:pPr>
            <w:r w:rsidRPr="00C66956">
              <w:rPr>
                <w:rFonts w:ascii="Garamond" w:hAnsi="Garamond" w:cs="Times New Roman"/>
              </w:rPr>
              <w:t>10%</w:t>
            </w:r>
          </w:p>
        </w:tc>
        <w:tc>
          <w:tcPr>
            <w:tcW w:w="1188" w:type="dxa"/>
          </w:tcPr>
          <w:p w:rsidR="00C66F79" w:rsidRPr="00C66956" w:rsidRDefault="00B24E0F" w:rsidP="00C66F79">
            <w:pPr>
              <w:rPr>
                <w:rFonts w:ascii="Garamond" w:hAnsi="Garamond" w:cs="Times New Roman"/>
              </w:rPr>
            </w:pPr>
            <w:r w:rsidRPr="00C66956">
              <w:rPr>
                <w:rFonts w:ascii="Garamond" w:hAnsi="Garamond" w:cs="Times New Roman"/>
              </w:rPr>
              <w:t>13%</w:t>
            </w:r>
          </w:p>
        </w:tc>
        <w:tc>
          <w:tcPr>
            <w:tcW w:w="1080" w:type="dxa"/>
          </w:tcPr>
          <w:p w:rsidR="00C66F79" w:rsidRPr="00C66956" w:rsidRDefault="00B24E0F" w:rsidP="00C66F79">
            <w:pPr>
              <w:rPr>
                <w:rFonts w:ascii="Garamond" w:hAnsi="Garamond" w:cs="Times New Roman"/>
              </w:rPr>
            </w:pPr>
            <w:r w:rsidRPr="00C66956">
              <w:rPr>
                <w:rFonts w:ascii="Garamond" w:hAnsi="Garamond" w:cs="Times New Roman"/>
              </w:rPr>
              <w:t>Active</w:t>
            </w:r>
          </w:p>
        </w:tc>
        <w:tc>
          <w:tcPr>
            <w:tcW w:w="2808" w:type="dxa"/>
          </w:tcPr>
          <w:p w:rsidR="00C66F79" w:rsidRPr="00C66956" w:rsidRDefault="00B24E0F" w:rsidP="00C66F79">
            <w:pPr>
              <w:rPr>
                <w:rFonts w:ascii="Garamond" w:hAnsi="Garamond" w:cs="Times New Roman"/>
              </w:rPr>
            </w:pPr>
            <w:r w:rsidRPr="00C66956">
              <w:rPr>
                <w:rFonts w:ascii="Garamond" w:hAnsi="Garamond" w:cs="Times New Roman"/>
              </w:rPr>
              <w:t xml:space="preserve">MSCI Emerging Markets </w:t>
            </w:r>
            <w:r w:rsidRPr="00C66956">
              <w:rPr>
                <w:rFonts w:ascii="Garamond" w:hAnsi="Garamond" w:cs="Times New Roman"/>
                <w:sz w:val="20"/>
                <w:szCs w:val="20"/>
              </w:rPr>
              <w:t>(net)</w:t>
            </w:r>
          </w:p>
        </w:tc>
      </w:tr>
      <w:tr w:rsidR="00B24E0F" w:rsidRPr="00C66956" w:rsidTr="00BD0CFD">
        <w:tc>
          <w:tcPr>
            <w:tcW w:w="2504" w:type="dxa"/>
          </w:tcPr>
          <w:p w:rsidR="00C66F79" w:rsidRPr="00C66956" w:rsidRDefault="00B24E0F" w:rsidP="00C66F79">
            <w:pPr>
              <w:rPr>
                <w:rFonts w:ascii="Garamond" w:hAnsi="Garamond" w:cs="Times New Roman"/>
              </w:rPr>
            </w:pPr>
            <w:r w:rsidRPr="00C66956">
              <w:rPr>
                <w:rFonts w:ascii="Garamond" w:hAnsi="Garamond" w:cs="Times New Roman"/>
              </w:rPr>
              <w:t>Sub Total Equity</w:t>
            </w:r>
          </w:p>
        </w:tc>
        <w:tc>
          <w:tcPr>
            <w:tcW w:w="1156" w:type="dxa"/>
          </w:tcPr>
          <w:p w:rsidR="00C66F79" w:rsidRPr="00C66956" w:rsidRDefault="00B24E0F" w:rsidP="00C66F79">
            <w:pPr>
              <w:rPr>
                <w:rFonts w:ascii="Garamond" w:hAnsi="Garamond" w:cs="Times New Roman"/>
              </w:rPr>
            </w:pPr>
            <w:r w:rsidRPr="00C66956">
              <w:rPr>
                <w:rFonts w:ascii="Garamond" w:hAnsi="Garamond" w:cs="Times New Roman"/>
              </w:rPr>
              <w:t>50%</w:t>
            </w:r>
          </w:p>
        </w:tc>
        <w:tc>
          <w:tcPr>
            <w:tcW w:w="840" w:type="dxa"/>
          </w:tcPr>
          <w:p w:rsidR="00C66F79" w:rsidRPr="00C66956" w:rsidRDefault="00B24E0F" w:rsidP="00C66F79">
            <w:pPr>
              <w:rPr>
                <w:rFonts w:ascii="Garamond" w:hAnsi="Garamond" w:cs="Times New Roman"/>
              </w:rPr>
            </w:pPr>
            <w:r w:rsidRPr="00C66956">
              <w:rPr>
                <w:rFonts w:ascii="Garamond" w:hAnsi="Garamond" w:cs="Times New Roman"/>
              </w:rPr>
              <w:t>60%</w:t>
            </w:r>
          </w:p>
        </w:tc>
        <w:tc>
          <w:tcPr>
            <w:tcW w:w="1188" w:type="dxa"/>
          </w:tcPr>
          <w:p w:rsidR="00C66F79" w:rsidRPr="00C66956" w:rsidRDefault="00B24E0F" w:rsidP="00C66F79">
            <w:pPr>
              <w:rPr>
                <w:rFonts w:ascii="Garamond" w:hAnsi="Garamond" w:cs="Times New Roman"/>
              </w:rPr>
            </w:pPr>
            <w:r w:rsidRPr="00C66956">
              <w:rPr>
                <w:rFonts w:ascii="Garamond" w:hAnsi="Garamond" w:cs="Times New Roman"/>
              </w:rPr>
              <w:t>70%</w:t>
            </w:r>
          </w:p>
        </w:tc>
        <w:tc>
          <w:tcPr>
            <w:tcW w:w="1080" w:type="dxa"/>
          </w:tcPr>
          <w:p w:rsidR="00C66F79" w:rsidRPr="00C66956" w:rsidRDefault="00C66F79" w:rsidP="00C66F79">
            <w:pPr>
              <w:rPr>
                <w:rFonts w:ascii="Garamond" w:hAnsi="Garamond" w:cs="Times New Roman"/>
              </w:rPr>
            </w:pPr>
          </w:p>
        </w:tc>
        <w:tc>
          <w:tcPr>
            <w:tcW w:w="2808" w:type="dxa"/>
          </w:tcPr>
          <w:p w:rsidR="00C66F79" w:rsidRPr="00C66956" w:rsidRDefault="00C66F79" w:rsidP="00C66F79">
            <w:pPr>
              <w:rPr>
                <w:rFonts w:ascii="Garamond" w:hAnsi="Garamond" w:cs="Times New Roman"/>
              </w:rPr>
            </w:pPr>
          </w:p>
        </w:tc>
      </w:tr>
      <w:tr w:rsidR="00B24E0F" w:rsidRPr="00C66956" w:rsidTr="00BD0CFD">
        <w:tc>
          <w:tcPr>
            <w:tcW w:w="2504" w:type="dxa"/>
          </w:tcPr>
          <w:p w:rsidR="00C66F79" w:rsidRPr="00C66956" w:rsidRDefault="00B24E0F" w:rsidP="00C66F79">
            <w:pPr>
              <w:rPr>
                <w:rFonts w:ascii="Garamond" w:hAnsi="Garamond" w:cs="Times New Roman"/>
              </w:rPr>
            </w:pPr>
            <w:r w:rsidRPr="00C66956">
              <w:rPr>
                <w:rFonts w:ascii="Garamond" w:hAnsi="Garamond" w:cs="Times New Roman"/>
              </w:rPr>
              <w:t>Investment Grade Bonds</w:t>
            </w:r>
            <w:r w:rsidR="00884DB1">
              <w:rPr>
                <w:rFonts w:ascii="Garamond" w:hAnsi="Garamond" w:cs="Times New Roman"/>
              </w:rPr>
              <w:t>*</w:t>
            </w:r>
          </w:p>
        </w:tc>
        <w:tc>
          <w:tcPr>
            <w:tcW w:w="1156" w:type="dxa"/>
          </w:tcPr>
          <w:p w:rsidR="00C66F79" w:rsidRPr="00C66956" w:rsidRDefault="00B24E0F" w:rsidP="00C66F79">
            <w:pPr>
              <w:rPr>
                <w:rFonts w:ascii="Garamond" w:hAnsi="Garamond" w:cs="Times New Roman"/>
              </w:rPr>
            </w:pPr>
            <w:r w:rsidRPr="00C66956">
              <w:rPr>
                <w:rFonts w:ascii="Garamond" w:hAnsi="Garamond" w:cs="Times New Roman"/>
              </w:rPr>
              <w:t>12%</w:t>
            </w:r>
          </w:p>
        </w:tc>
        <w:tc>
          <w:tcPr>
            <w:tcW w:w="840" w:type="dxa"/>
          </w:tcPr>
          <w:p w:rsidR="00C66F79" w:rsidRPr="00C66956" w:rsidRDefault="00B24E0F" w:rsidP="00C66F79">
            <w:pPr>
              <w:rPr>
                <w:rFonts w:ascii="Garamond" w:hAnsi="Garamond" w:cs="Times New Roman"/>
              </w:rPr>
            </w:pPr>
            <w:r w:rsidRPr="00C66956">
              <w:rPr>
                <w:rFonts w:ascii="Garamond" w:hAnsi="Garamond" w:cs="Times New Roman"/>
              </w:rPr>
              <w:t>17%</w:t>
            </w:r>
          </w:p>
        </w:tc>
        <w:tc>
          <w:tcPr>
            <w:tcW w:w="1188" w:type="dxa"/>
          </w:tcPr>
          <w:p w:rsidR="00C66F79" w:rsidRPr="00C66956" w:rsidRDefault="00B24E0F" w:rsidP="00C66F79">
            <w:pPr>
              <w:rPr>
                <w:rFonts w:ascii="Garamond" w:hAnsi="Garamond" w:cs="Times New Roman"/>
              </w:rPr>
            </w:pPr>
            <w:r w:rsidRPr="00C66956">
              <w:rPr>
                <w:rFonts w:ascii="Garamond" w:hAnsi="Garamond" w:cs="Times New Roman"/>
              </w:rPr>
              <w:t>22%</w:t>
            </w:r>
          </w:p>
        </w:tc>
        <w:tc>
          <w:tcPr>
            <w:tcW w:w="1080" w:type="dxa"/>
          </w:tcPr>
          <w:p w:rsidR="00C66F79" w:rsidRPr="00C66956" w:rsidRDefault="00B24E0F" w:rsidP="00C66F79">
            <w:pPr>
              <w:rPr>
                <w:rFonts w:ascii="Garamond" w:hAnsi="Garamond" w:cs="Times New Roman"/>
              </w:rPr>
            </w:pPr>
            <w:r w:rsidRPr="00C66956">
              <w:rPr>
                <w:rFonts w:ascii="Garamond" w:hAnsi="Garamond" w:cs="Times New Roman"/>
              </w:rPr>
              <w:t>Active</w:t>
            </w:r>
          </w:p>
        </w:tc>
        <w:tc>
          <w:tcPr>
            <w:tcW w:w="2808" w:type="dxa"/>
          </w:tcPr>
          <w:p w:rsidR="00C66F79" w:rsidRPr="00C66956" w:rsidRDefault="00B24E0F" w:rsidP="00C66F79">
            <w:pPr>
              <w:rPr>
                <w:rFonts w:ascii="Garamond" w:hAnsi="Garamond" w:cs="Times New Roman"/>
              </w:rPr>
            </w:pPr>
            <w:r w:rsidRPr="00C66956">
              <w:rPr>
                <w:rFonts w:ascii="Garamond" w:hAnsi="Garamond" w:cs="Times New Roman"/>
              </w:rPr>
              <w:t>Barclays Aggregate</w:t>
            </w:r>
          </w:p>
        </w:tc>
      </w:tr>
      <w:tr w:rsidR="00B24E0F" w:rsidRPr="00C66956" w:rsidTr="00BD0CFD">
        <w:tc>
          <w:tcPr>
            <w:tcW w:w="2504" w:type="dxa"/>
          </w:tcPr>
          <w:p w:rsidR="00B24E0F" w:rsidRPr="00C66956" w:rsidRDefault="00BD0CFD" w:rsidP="00C66F79">
            <w:pPr>
              <w:rPr>
                <w:rFonts w:ascii="Garamond" w:hAnsi="Garamond" w:cs="Times New Roman"/>
              </w:rPr>
            </w:pPr>
            <w:r>
              <w:rPr>
                <w:rFonts w:ascii="Garamond" w:hAnsi="Garamond" w:cs="Times New Roman"/>
              </w:rPr>
              <w:t>Ultra-Short-T</w:t>
            </w:r>
            <w:r w:rsidR="00B24E0F" w:rsidRPr="00C66956">
              <w:rPr>
                <w:rFonts w:ascii="Garamond" w:hAnsi="Garamond" w:cs="Times New Roman"/>
              </w:rPr>
              <w:t>erm Bonds</w:t>
            </w:r>
            <w:r w:rsidR="00884DB1">
              <w:rPr>
                <w:rFonts w:ascii="Garamond" w:hAnsi="Garamond" w:cs="Times New Roman"/>
              </w:rPr>
              <w:t>*</w:t>
            </w:r>
          </w:p>
        </w:tc>
        <w:tc>
          <w:tcPr>
            <w:tcW w:w="1156" w:type="dxa"/>
          </w:tcPr>
          <w:p w:rsidR="00B24E0F" w:rsidRPr="00C66956" w:rsidRDefault="00B24E0F" w:rsidP="00C66F79">
            <w:pPr>
              <w:rPr>
                <w:rFonts w:ascii="Garamond" w:hAnsi="Garamond" w:cs="Times New Roman"/>
              </w:rPr>
            </w:pPr>
            <w:r w:rsidRPr="00C66956">
              <w:rPr>
                <w:rFonts w:ascii="Garamond" w:hAnsi="Garamond" w:cs="Times New Roman"/>
              </w:rPr>
              <w:t>4%</w:t>
            </w:r>
          </w:p>
        </w:tc>
        <w:tc>
          <w:tcPr>
            <w:tcW w:w="840" w:type="dxa"/>
          </w:tcPr>
          <w:p w:rsidR="00B24E0F" w:rsidRPr="00C66956" w:rsidRDefault="00B24E0F" w:rsidP="00C66F79">
            <w:pPr>
              <w:rPr>
                <w:rFonts w:ascii="Garamond" w:hAnsi="Garamond" w:cs="Times New Roman"/>
              </w:rPr>
            </w:pPr>
            <w:r w:rsidRPr="00C66956">
              <w:rPr>
                <w:rFonts w:ascii="Garamond" w:hAnsi="Garamond" w:cs="Times New Roman"/>
              </w:rPr>
              <w:t>6%</w:t>
            </w:r>
          </w:p>
        </w:tc>
        <w:tc>
          <w:tcPr>
            <w:tcW w:w="1188" w:type="dxa"/>
          </w:tcPr>
          <w:p w:rsidR="00B24E0F" w:rsidRPr="00C66956" w:rsidRDefault="00B24E0F" w:rsidP="00C66F79">
            <w:pPr>
              <w:rPr>
                <w:rFonts w:ascii="Garamond" w:hAnsi="Garamond" w:cs="Times New Roman"/>
              </w:rPr>
            </w:pPr>
            <w:r w:rsidRPr="00C66956">
              <w:rPr>
                <w:rFonts w:ascii="Garamond" w:hAnsi="Garamond" w:cs="Times New Roman"/>
              </w:rPr>
              <w:t>8%</w:t>
            </w:r>
          </w:p>
        </w:tc>
        <w:tc>
          <w:tcPr>
            <w:tcW w:w="1080" w:type="dxa"/>
          </w:tcPr>
          <w:p w:rsidR="00B24E0F" w:rsidRPr="00C66956" w:rsidRDefault="00B24E0F" w:rsidP="00C66F79">
            <w:pPr>
              <w:rPr>
                <w:rFonts w:ascii="Garamond" w:hAnsi="Garamond" w:cs="Times New Roman"/>
              </w:rPr>
            </w:pPr>
          </w:p>
        </w:tc>
        <w:tc>
          <w:tcPr>
            <w:tcW w:w="2808" w:type="dxa"/>
          </w:tcPr>
          <w:p w:rsidR="00B24E0F" w:rsidRPr="00C66956" w:rsidRDefault="00B24E0F" w:rsidP="00C66F79">
            <w:pPr>
              <w:rPr>
                <w:rFonts w:ascii="Garamond" w:hAnsi="Garamond" w:cs="Times New Roman"/>
              </w:rPr>
            </w:pPr>
            <w:r w:rsidRPr="00C66956">
              <w:rPr>
                <w:rFonts w:ascii="Garamond" w:hAnsi="Garamond" w:cs="Times New Roman"/>
              </w:rPr>
              <w:t>Barclays Credit 1-5 years</w:t>
            </w:r>
          </w:p>
        </w:tc>
      </w:tr>
      <w:tr w:rsidR="00B24E0F" w:rsidRPr="00C66956" w:rsidTr="00BD0CFD">
        <w:tc>
          <w:tcPr>
            <w:tcW w:w="2504" w:type="dxa"/>
          </w:tcPr>
          <w:p w:rsidR="00B24E0F" w:rsidRPr="00C66956" w:rsidRDefault="00B24E0F" w:rsidP="00C66F79">
            <w:pPr>
              <w:rPr>
                <w:rFonts w:ascii="Garamond" w:hAnsi="Garamond" w:cs="Times New Roman"/>
              </w:rPr>
            </w:pPr>
            <w:r w:rsidRPr="00C66956">
              <w:rPr>
                <w:rFonts w:ascii="Garamond" w:hAnsi="Garamond" w:cs="Times New Roman"/>
              </w:rPr>
              <w:t>High Yield</w:t>
            </w:r>
          </w:p>
        </w:tc>
        <w:tc>
          <w:tcPr>
            <w:tcW w:w="1156" w:type="dxa"/>
          </w:tcPr>
          <w:p w:rsidR="00B24E0F" w:rsidRPr="00C66956" w:rsidRDefault="00B24E0F" w:rsidP="00C66F79">
            <w:pPr>
              <w:rPr>
                <w:rFonts w:ascii="Garamond" w:hAnsi="Garamond" w:cs="Times New Roman"/>
              </w:rPr>
            </w:pPr>
            <w:r w:rsidRPr="00C66956">
              <w:rPr>
                <w:rFonts w:ascii="Garamond" w:hAnsi="Garamond" w:cs="Times New Roman"/>
              </w:rPr>
              <w:t>7%</w:t>
            </w:r>
          </w:p>
        </w:tc>
        <w:tc>
          <w:tcPr>
            <w:tcW w:w="840" w:type="dxa"/>
          </w:tcPr>
          <w:p w:rsidR="00B24E0F" w:rsidRPr="00C66956" w:rsidRDefault="00B24E0F" w:rsidP="00C66F79">
            <w:pPr>
              <w:rPr>
                <w:rFonts w:ascii="Garamond" w:hAnsi="Garamond" w:cs="Times New Roman"/>
              </w:rPr>
            </w:pPr>
            <w:r w:rsidRPr="00C66956">
              <w:rPr>
                <w:rFonts w:ascii="Garamond" w:hAnsi="Garamond" w:cs="Times New Roman"/>
              </w:rPr>
              <w:t>10%</w:t>
            </w:r>
          </w:p>
        </w:tc>
        <w:tc>
          <w:tcPr>
            <w:tcW w:w="1188" w:type="dxa"/>
          </w:tcPr>
          <w:p w:rsidR="00B24E0F" w:rsidRPr="00C66956" w:rsidRDefault="00B24E0F" w:rsidP="00C66F79">
            <w:pPr>
              <w:rPr>
                <w:rFonts w:ascii="Garamond" w:hAnsi="Garamond" w:cs="Times New Roman"/>
              </w:rPr>
            </w:pPr>
            <w:r w:rsidRPr="00C66956">
              <w:rPr>
                <w:rFonts w:ascii="Garamond" w:hAnsi="Garamond" w:cs="Times New Roman"/>
              </w:rPr>
              <w:t>13%</w:t>
            </w:r>
          </w:p>
        </w:tc>
        <w:tc>
          <w:tcPr>
            <w:tcW w:w="1080" w:type="dxa"/>
          </w:tcPr>
          <w:p w:rsidR="00B24E0F" w:rsidRPr="00C66956" w:rsidRDefault="00B24E0F" w:rsidP="00C66F79">
            <w:pPr>
              <w:rPr>
                <w:rFonts w:ascii="Garamond" w:hAnsi="Garamond" w:cs="Times New Roman"/>
              </w:rPr>
            </w:pPr>
            <w:r w:rsidRPr="00C66956">
              <w:rPr>
                <w:rFonts w:ascii="Garamond" w:hAnsi="Garamond" w:cs="Times New Roman"/>
              </w:rPr>
              <w:t>Active</w:t>
            </w:r>
          </w:p>
        </w:tc>
        <w:tc>
          <w:tcPr>
            <w:tcW w:w="2808" w:type="dxa"/>
          </w:tcPr>
          <w:p w:rsidR="00B24E0F" w:rsidRPr="00C66956" w:rsidRDefault="00B24E0F" w:rsidP="00C66F79">
            <w:pPr>
              <w:rPr>
                <w:rFonts w:ascii="Garamond" w:hAnsi="Garamond" w:cs="Times New Roman"/>
              </w:rPr>
            </w:pPr>
            <w:r w:rsidRPr="00C66956">
              <w:rPr>
                <w:rFonts w:ascii="Garamond" w:hAnsi="Garamond" w:cs="Times New Roman"/>
              </w:rPr>
              <w:t>Barclays US Corporate High Yield</w:t>
            </w:r>
          </w:p>
        </w:tc>
      </w:tr>
      <w:tr w:rsidR="00B24E0F" w:rsidRPr="00C66956" w:rsidTr="00BD0CFD">
        <w:tc>
          <w:tcPr>
            <w:tcW w:w="2504" w:type="dxa"/>
          </w:tcPr>
          <w:p w:rsidR="00B24E0F" w:rsidRPr="00C66956" w:rsidRDefault="00B24E0F" w:rsidP="00C66F79">
            <w:pPr>
              <w:rPr>
                <w:rFonts w:ascii="Garamond" w:hAnsi="Garamond" w:cs="Times New Roman"/>
              </w:rPr>
            </w:pPr>
            <w:r w:rsidRPr="00C66956">
              <w:rPr>
                <w:rFonts w:ascii="Garamond" w:hAnsi="Garamond" w:cs="Times New Roman"/>
              </w:rPr>
              <w:t>Cash</w:t>
            </w:r>
          </w:p>
        </w:tc>
        <w:tc>
          <w:tcPr>
            <w:tcW w:w="1156" w:type="dxa"/>
          </w:tcPr>
          <w:p w:rsidR="00B24E0F" w:rsidRPr="00C66956" w:rsidRDefault="00B24E0F" w:rsidP="00C66F79">
            <w:pPr>
              <w:rPr>
                <w:rFonts w:ascii="Garamond" w:hAnsi="Garamond" w:cs="Times New Roman"/>
              </w:rPr>
            </w:pPr>
            <w:r w:rsidRPr="00C66956">
              <w:rPr>
                <w:rFonts w:ascii="Garamond" w:hAnsi="Garamond" w:cs="Times New Roman"/>
              </w:rPr>
              <w:t>2%</w:t>
            </w:r>
          </w:p>
        </w:tc>
        <w:tc>
          <w:tcPr>
            <w:tcW w:w="840" w:type="dxa"/>
          </w:tcPr>
          <w:p w:rsidR="00B24E0F" w:rsidRPr="00C66956" w:rsidRDefault="00B24E0F" w:rsidP="00C66F79">
            <w:pPr>
              <w:rPr>
                <w:rFonts w:ascii="Garamond" w:hAnsi="Garamond" w:cs="Times New Roman"/>
              </w:rPr>
            </w:pPr>
            <w:r w:rsidRPr="00C66956">
              <w:rPr>
                <w:rFonts w:ascii="Garamond" w:hAnsi="Garamond" w:cs="Times New Roman"/>
              </w:rPr>
              <w:t>7%</w:t>
            </w:r>
          </w:p>
        </w:tc>
        <w:tc>
          <w:tcPr>
            <w:tcW w:w="1188" w:type="dxa"/>
          </w:tcPr>
          <w:p w:rsidR="00B24E0F" w:rsidRPr="00C66956" w:rsidRDefault="00B24E0F" w:rsidP="00C66F79">
            <w:pPr>
              <w:rPr>
                <w:rFonts w:ascii="Garamond" w:hAnsi="Garamond" w:cs="Times New Roman"/>
              </w:rPr>
            </w:pPr>
            <w:r w:rsidRPr="00C66956">
              <w:rPr>
                <w:rFonts w:ascii="Garamond" w:hAnsi="Garamond" w:cs="Times New Roman"/>
              </w:rPr>
              <w:t>10%</w:t>
            </w:r>
          </w:p>
        </w:tc>
        <w:tc>
          <w:tcPr>
            <w:tcW w:w="1080" w:type="dxa"/>
          </w:tcPr>
          <w:p w:rsidR="00B24E0F" w:rsidRPr="00C66956" w:rsidRDefault="00B24E0F" w:rsidP="00C66F79">
            <w:pPr>
              <w:rPr>
                <w:rFonts w:ascii="Garamond" w:hAnsi="Garamond" w:cs="Times New Roman"/>
              </w:rPr>
            </w:pPr>
          </w:p>
        </w:tc>
        <w:tc>
          <w:tcPr>
            <w:tcW w:w="2808" w:type="dxa"/>
          </w:tcPr>
          <w:p w:rsidR="00B24E0F" w:rsidRPr="00C66956" w:rsidRDefault="00B24E0F" w:rsidP="00C66F79">
            <w:pPr>
              <w:rPr>
                <w:rFonts w:ascii="Garamond" w:hAnsi="Garamond" w:cs="Times New Roman"/>
              </w:rPr>
            </w:pPr>
            <w:r w:rsidRPr="00C66956">
              <w:rPr>
                <w:rFonts w:ascii="Garamond" w:hAnsi="Garamond" w:cs="Times New Roman"/>
              </w:rPr>
              <w:t xml:space="preserve">90 day </w:t>
            </w:r>
            <w:r w:rsidR="003373D6" w:rsidRPr="00C66956">
              <w:rPr>
                <w:rFonts w:ascii="Garamond" w:hAnsi="Garamond" w:cs="Times New Roman"/>
              </w:rPr>
              <w:t>UST bill</w:t>
            </w:r>
          </w:p>
        </w:tc>
      </w:tr>
      <w:tr w:rsidR="00B24E0F" w:rsidRPr="00C66956" w:rsidTr="00BD0CFD">
        <w:tc>
          <w:tcPr>
            <w:tcW w:w="2504" w:type="dxa"/>
          </w:tcPr>
          <w:p w:rsidR="00B24E0F" w:rsidRPr="00C66956" w:rsidRDefault="00B24E0F" w:rsidP="00C66F79">
            <w:pPr>
              <w:rPr>
                <w:rFonts w:ascii="Garamond" w:hAnsi="Garamond" w:cs="Times New Roman"/>
              </w:rPr>
            </w:pPr>
            <w:r w:rsidRPr="00C66956">
              <w:rPr>
                <w:rFonts w:ascii="Garamond" w:hAnsi="Garamond" w:cs="Times New Roman"/>
              </w:rPr>
              <w:t>Subtotal Fixed Income</w:t>
            </w:r>
          </w:p>
        </w:tc>
        <w:tc>
          <w:tcPr>
            <w:tcW w:w="1156" w:type="dxa"/>
          </w:tcPr>
          <w:p w:rsidR="00B24E0F" w:rsidRPr="00C66956" w:rsidRDefault="00B24E0F" w:rsidP="00C66F79">
            <w:pPr>
              <w:rPr>
                <w:rFonts w:ascii="Garamond" w:hAnsi="Garamond" w:cs="Times New Roman"/>
              </w:rPr>
            </w:pPr>
            <w:r w:rsidRPr="00C66956">
              <w:rPr>
                <w:rFonts w:ascii="Garamond" w:hAnsi="Garamond" w:cs="Times New Roman"/>
              </w:rPr>
              <w:t>30%</w:t>
            </w:r>
          </w:p>
        </w:tc>
        <w:tc>
          <w:tcPr>
            <w:tcW w:w="840" w:type="dxa"/>
          </w:tcPr>
          <w:p w:rsidR="00B24E0F" w:rsidRPr="00C66956" w:rsidRDefault="00B24E0F" w:rsidP="00C66F79">
            <w:pPr>
              <w:rPr>
                <w:rFonts w:ascii="Garamond" w:hAnsi="Garamond" w:cs="Times New Roman"/>
              </w:rPr>
            </w:pPr>
            <w:r w:rsidRPr="00C66956">
              <w:rPr>
                <w:rFonts w:ascii="Garamond" w:hAnsi="Garamond" w:cs="Times New Roman"/>
              </w:rPr>
              <w:t>40%</w:t>
            </w:r>
          </w:p>
        </w:tc>
        <w:tc>
          <w:tcPr>
            <w:tcW w:w="1188" w:type="dxa"/>
          </w:tcPr>
          <w:p w:rsidR="00B24E0F" w:rsidRPr="00C66956" w:rsidRDefault="00B24E0F" w:rsidP="00C66F79">
            <w:pPr>
              <w:rPr>
                <w:rFonts w:ascii="Garamond" w:hAnsi="Garamond" w:cs="Times New Roman"/>
              </w:rPr>
            </w:pPr>
            <w:r w:rsidRPr="00C66956">
              <w:rPr>
                <w:rFonts w:ascii="Garamond" w:hAnsi="Garamond" w:cs="Times New Roman"/>
              </w:rPr>
              <w:t>50%</w:t>
            </w:r>
          </w:p>
        </w:tc>
        <w:tc>
          <w:tcPr>
            <w:tcW w:w="1080" w:type="dxa"/>
          </w:tcPr>
          <w:p w:rsidR="00B24E0F" w:rsidRPr="00C66956" w:rsidRDefault="00B24E0F" w:rsidP="00C66F79">
            <w:pPr>
              <w:rPr>
                <w:rFonts w:ascii="Garamond" w:hAnsi="Garamond" w:cs="Times New Roman"/>
              </w:rPr>
            </w:pPr>
          </w:p>
        </w:tc>
        <w:tc>
          <w:tcPr>
            <w:tcW w:w="2808" w:type="dxa"/>
          </w:tcPr>
          <w:p w:rsidR="00B24E0F" w:rsidRPr="00C66956" w:rsidRDefault="00B24E0F" w:rsidP="00C66F79">
            <w:pPr>
              <w:rPr>
                <w:rFonts w:ascii="Garamond" w:hAnsi="Garamond" w:cs="Times New Roman"/>
              </w:rPr>
            </w:pPr>
          </w:p>
        </w:tc>
      </w:tr>
      <w:tr w:rsidR="00B24E0F" w:rsidRPr="00C66956" w:rsidTr="00BD0CFD">
        <w:tc>
          <w:tcPr>
            <w:tcW w:w="2504" w:type="dxa"/>
          </w:tcPr>
          <w:p w:rsidR="00B24E0F" w:rsidRPr="00C66956" w:rsidRDefault="00B24E0F" w:rsidP="00C66F79">
            <w:pPr>
              <w:rPr>
                <w:rFonts w:ascii="Garamond" w:hAnsi="Garamond" w:cs="Times New Roman"/>
              </w:rPr>
            </w:pPr>
            <w:r w:rsidRPr="00C66956">
              <w:rPr>
                <w:rFonts w:ascii="Garamond" w:hAnsi="Garamond" w:cs="Times New Roman"/>
              </w:rPr>
              <w:t>Total Portfolio</w:t>
            </w:r>
          </w:p>
        </w:tc>
        <w:tc>
          <w:tcPr>
            <w:tcW w:w="1156" w:type="dxa"/>
          </w:tcPr>
          <w:p w:rsidR="00B24E0F" w:rsidRPr="00C66956" w:rsidRDefault="00B24E0F" w:rsidP="00C66F79">
            <w:pPr>
              <w:rPr>
                <w:rFonts w:ascii="Garamond" w:hAnsi="Garamond" w:cs="Times New Roman"/>
              </w:rPr>
            </w:pPr>
          </w:p>
        </w:tc>
        <w:tc>
          <w:tcPr>
            <w:tcW w:w="840" w:type="dxa"/>
          </w:tcPr>
          <w:p w:rsidR="00B24E0F" w:rsidRPr="00C66956" w:rsidRDefault="00B24E0F" w:rsidP="00C66F79">
            <w:pPr>
              <w:rPr>
                <w:rFonts w:ascii="Garamond" w:hAnsi="Garamond" w:cs="Times New Roman"/>
              </w:rPr>
            </w:pPr>
            <w:r w:rsidRPr="00C66956">
              <w:rPr>
                <w:rFonts w:ascii="Garamond" w:hAnsi="Garamond" w:cs="Times New Roman"/>
              </w:rPr>
              <w:t>100%</w:t>
            </w:r>
          </w:p>
        </w:tc>
        <w:tc>
          <w:tcPr>
            <w:tcW w:w="1188" w:type="dxa"/>
          </w:tcPr>
          <w:p w:rsidR="00B24E0F" w:rsidRPr="00C66956" w:rsidRDefault="00B24E0F" w:rsidP="00C66F79">
            <w:pPr>
              <w:rPr>
                <w:rFonts w:ascii="Garamond" w:hAnsi="Garamond" w:cs="Times New Roman"/>
              </w:rPr>
            </w:pPr>
          </w:p>
        </w:tc>
        <w:tc>
          <w:tcPr>
            <w:tcW w:w="1080" w:type="dxa"/>
          </w:tcPr>
          <w:p w:rsidR="00B24E0F" w:rsidRPr="00C66956" w:rsidRDefault="00B24E0F" w:rsidP="00C66F79">
            <w:pPr>
              <w:rPr>
                <w:rFonts w:ascii="Garamond" w:hAnsi="Garamond" w:cs="Times New Roman"/>
              </w:rPr>
            </w:pPr>
          </w:p>
        </w:tc>
        <w:tc>
          <w:tcPr>
            <w:tcW w:w="2808" w:type="dxa"/>
          </w:tcPr>
          <w:p w:rsidR="00B24E0F" w:rsidRPr="00C66956" w:rsidRDefault="00B24E0F" w:rsidP="00C66F79">
            <w:pPr>
              <w:rPr>
                <w:rFonts w:ascii="Garamond" w:hAnsi="Garamond" w:cs="Times New Roman"/>
              </w:rPr>
            </w:pPr>
          </w:p>
        </w:tc>
      </w:tr>
    </w:tbl>
    <w:p w:rsidR="00C66F79" w:rsidRPr="00BD0CFD" w:rsidRDefault="00BD0CFD" w:rsidP="00BD0CFD">
      <w:pPr>
        <w:spacing w:after="0"/>
        <w:rPr>
          <w:rFonts w:ascii="Garamond" w:hAnsi="Garamond" w:cs="Times New Roman"/>
        </w:rPr>
      </w:pPr>
      <w:r>
        <w:rPr>
          <w:rFonts w:ascii="Garamond" w:hAnsi="Garamond" w:cs="Times New Roman"/>
        </w:rPr>
        <w:t>*</w:t>
      </w:r>
      <w:r w:rsidRPr="00BD0CFD">
        <w:rPr>
          <w:rFonts w:ascii="Garamond" w:hAnsi="Garamond" w:cs="Times New Roman"/>
        </w:rPr>
        <w:t xml:space="preserve"> The total </w:t>
      </w:r>
      <w:r>
        <w:rPr>
          <w:rFonts w:ascii="Garamond" w:hAnsi="Garamond" w:cs="Times New Roman"/>
        </w:rPr>
        <w:t xml:space="preserve">of </w:t>
      </w:r>
      <w:r w:rsidRPr="00BD0CFD">
        <w:rPr>
          <w:rFonts w:ascii="Garamond" w:hAnsi="Garamond" w:cs="Times New Roman"/>
        </w:rPr>
        <w:t>Ultra-Short-</w:t>
      </w:r>
      <w:r w:rsidR="00884DB1" w:rsidRPr="00BD0CFD">
        <w:rPr>
          <w:rFonts w:ascii="Garamond" w:hAnsi="Garamond" w:cs="Times New Roman"/>
        </w:rPr>
        <w:t>Term Bonds and Investment Grade Bonds may equate to a maximum of 30%.</w:t>
      </w:r>
    </w:p>
    <w:p w:rsidR="00400E39" w:rsidRDefault="00400E39" w:rsidP="003D5BE9">
      <w:pPr>
        <w:spacing w:after="0"/>
        <w:rPr>
          <w:rFonts w:ascii="Garamond" w:hAnsi="Garamond" w:cs="Times New Roman"/>
        </w:rPr>
      </w:pPr>
    </w:p>
    <w:p w:rsidR="003D5BE9" w:rsidRPr="00C66956" w:rsidRDefault="00B24E0F" w:rsidP="003D5BE9">
      <w:pPr>
        <w:spacing w:after="0"/>
        <w:rPr>
          <w:rFonts w:ascii="Garamond" w:hAnsi="Garamond" w:cs="Times New Roman"/>
        </w:rPr>
      </w:pPr>
      <w:r w:rsidRPr="00C66956">
        <w:rPr>
          <w:rFonts w:ascii="Garamond" w:hAnsi="Garamond" w:cs="Times New Roman"/>
        </w:rPr>
        <w:t>The above asset allocation will be managed within the minimum</w:t>
      </w:r>
      <w:r w:rsidR="00513722">
        <w:rPr>
          <w:rFonts w:ascii="Garamond" w:hAnsi="Garamond" w:cs="Times New Roman"/>
        </w:rPr>
        <w:t xml:space="preserve"> and maximum IPS ranges by the i</w:t>
      </w:r>
      <w:r w:rsidRPr="00C66956">
        <w:rPr>
          <w:rFonts w:ascii="Garamond" w:hAnsi="Garamond" w:cs="Times New Roman"/>
        </w:rPr>
        <w:t xml:space="preserve">nvestment </w:t>
      </w:r>
      <w:r w:rsidR="00513722">
        <w:rPr>
          <w:rFonts w:ascii="Garamond" w:hAnsi="Garamond" w:cs="Times New Roman"/>
        </w:rPr>
        <w:t>a</w:t>
      </w:r>
      <w:r w:rsidR="00884DB1">
        <w:rPr>
          <w:rFonts w:ascii="Garamond" w:hAnsi="Garamond" w:cs="Times New Roman"/>
        </w:rPr>
        <w:t>dvisor</w:t>
      </w:r>
      <w:r w:rsidRPr="00C66956">
        <w:rPr>
          <w:rFonts w:ascii="Garamond" w:hAnsi="Garamond" w:cs="Times New Roman"/>
        </w:rPr>
        <w:t>. The benchmark for the portfolio will be the weighted average benchmark of the target asset allocation. The preferred strategy of active or passive is meant only t</w:t>
      </w:r>
      <w:r w:rsidR="00513722">
        <w:rPr>
          <w:rFonts w:ascii="Garamond" w:hAnsi="Garamond" w:cs="Times New Roman"/>
        </w:rPr>
        <w:t>o provide for direction to the i</w:t>
      </w:r>
      <w:r w:rsidRPr="00C66956">
        <w:rPr>
          <w:rFonts w:ascii="Garamond" w:hAnsi="Garamond" w:cs="Times New Roman"/>
        </w:rPr>
        <w:t xml:space="preserve">nvestment </w:t>
      </w:r>
      <w:r w:rsidR="00513722">
        <w:rPr>
          <w:rFonts w:ascii="Garamond" w:hAnsi="Garamond" w:cs="Times New Roman"/>
        </w:rPr>
        <w:lastRenderedPageBreak/>
        <w:t>a</w:t>
      </w:r>
      <w:r w:rsidR="00884DB1">
        <w:rPr>
          <w:rFonts w:ascii="Garamond" w:hAnsi="Garamond" w:cs="Times New Roman"/>
        </w:rPr>
        <w:t>dvisor</w:t>
      </w:r>
      <w:r w:rsidR="00BD54C8" w:rsidRPr="00C66956">
        <w:rPr>
          <w:rFonts w:ascii="Garamond" w:hAnsi="Garamond" w:cs="Times New Roman"/>
        </w:rPr>
        <w:t>. It is expected that allocations with passive preferred strategies will perform very close to the benchmark. Active strategies may deviate from the benchmark, but be equal to or outperform over the longer term 5</w:t>
      </w:r>
      <w:r w:rsidR="00513722">
        <w:rPr>
          <w:rFonts w:ascii="Garamond" w:hAnsi="Garamond" w:cs="Times New Roman"/>
        </w:rPr>
        <w:t>- to 7-</w:t>
      </w:r>
      <w:r w:rsidR="00BD54C8" w:rsidRPr="00C66956">
        <w:rPr>
          <w:rFonts w:ascii="Garamond" w:hAnsi="Garamond" w:cs="Times New Roman"/>
        </w:rPr>
        <w:t>year time horizon</w:t>
      </w:r>
      <w:r w:rsidR="003373D6" w:rsidRPr="00C66956">
        <w:rPr>
          <w:rFonts w:ascii="Garamond" w:hAnsi="Garamond" w:cs="Times New Roman"/>
        </w:rPr>
        <w:t xml:space="preserve"> unless the PBB is following a lower risk strategy</w:t>
      </w:r>
      <w:r w:rsidR="00BD54C8" w:rsidRPr="00C66956">
        <w:rPr>
          <w:rFonts w:ascii="Garamond" w:hAnsi="Garamond" w:cs="Times New Roman"/>
        </w:rPr>
        <w:t>. As the portfolio is close to fully funded</w:t>
      </w:r>
      <w:r w:rsidR="00513722">
        <w:rPr>
          <w:rFonts w:ascii="Garamond" w:hAnsi="Garamond" w:cs="Times New Roman"/>
        </w:rPr>
        <w:t>,</w:t>
      </w:r>
      <w:r w:rsidR="00BD54C8" w:rsidRPr="00C66956">
        <w:rPr>
          <w:rFonts w:ascii="Garamond" w:hAnsi="Garamond" w:cs="Times New Roman"/>
        </w:rPr>
        <w:t xml:space="preserve"> the PBB is willing to take on the risk of market volatility that comes with returns that closely track the benchmark. The allocations that have active managers as the preferred strategy reflect empirical evidence that active management has a high probability of adding value to the portfolio either through enhanced return or risk reduction.</w:t>
      </w:r>
    </w:p>
    <w:p w:rsidR="00BD54C8" w:rsidRPr="00C66956" w:rsidRDefault="00BD54C8" w:rsidP="003D5BE9">
      <w:pPr>
        <w:spacing w:after="0"/>
        <w:rPr>
          <w:rFonts w:ascii="Garamond" w:hAnsi="Garamond" w:cs="Times New Roman"/>
        </w:rPr>
      </w:pPr>
    </w:p>
    <w:p w:rsidR="00BD54C8" w:rsidRDefault="00BD54C8" w:rsidP="00E92A48">
      <w:pPr>
        <w:pStyle w:val="Heading2"/>
        <w:spacing w:before="0" w:line="240" w:lineRule="auto"/>
        <w:rPr>
          <w:rFonts w:ascii="Garamond" w:hAnsi="Garamond"/>
        </w:rPr>
      </w:pPr>
      <w:bookmarkStart w:id="14" w:name="_Toc7689732"/>
      <w:r w:rsidRPr="00C66956">
        <w:rPr>
          <w:rFonts w:ascii="Garamond" w:hAnsi="Garamond"/>
        </w:rPr>
        <w:t>Fire Department Asset Allocation</w:t>
      </w:r>
      <w:bookmarkEnd w:id="14"/>
      <w:r w:rsidRPr="00C66956">
        <w:rPr>
          <w:rFonts w:ascii="Garamond" w:hAnsi="Garamond"/>
        </w:rPr>
        <w:t xml:space="preserve"> </w:t>
      </w:r>
    </w:p>
    <w:p w:rsidR="00E92A48" w:rsidRPr="00E92A48" w:rsidRDefault="00E92A48" w:rsidP="00E92A48">
      <w:pPr>
        <w:spacing w:line="240" w:lineRule="auto"/>
      </w:pPr>
    </w:p>
    <w:tbl>
      <w:tblPr>
        <w:tblStyle w:val="TableGrid"/>
        <w:tblW w:w="0" w:type="auto"/>
        <w:tblLook w:val="04A0" w:firstRow="1" w:lastRow="0" w:firstColumn="1" w:lastColumn="0" w:noHBand="0" w:noVBand="1"/>
      </w:tblPr>
      <w:tblGrid>
        <w:gridCol w:w="2504"/>
        <w:gridCol w:w="1156"/>
        <w:gridCol w:w="840"/>
        <w:gridCol w:w="1188"/>
        <w:gridCol w:w="1080"/>
        <w:gridCol w:w="2808"/>
      </w:tblGrid>
      <w:tr w:rsidR="00E92A48" w:rsidRPr="00C66956" w:rsidTr="008A2F9F">
        <w:tc>
          <w:tcPr>
            <w:tcW w:w="2504" w:type="dxa"/>
            <w:shd w:val="clear" w:color="auto" w:fill="8DB3E2" w:themeFill="text2" w:themeFillTint="66"/>
          </w:tcPr>
          <w:p w:rsidR="00E92A48" w:rsidRPr="00BD0CFD" w:rsidRDefault="00E92A48" w:rsidP="00E92A48">
            <w:pPr>
              <w:rPr>
                <w:rFonts w:ascii="Garamond" w:hAnsi="Garamond" w:cs="Times New Roman"/>
                <w:b/>
              </w:rPr>
            </w:pPr>
            <w:r w:rsidRPr="00BD0CFD">
              <w:rPr>
                <w:rFonts w:ascii="Garamond" w:hAnsi="Garamond" w:cs="Times New Roman"/>
                <w:b/>
              </w:rPr>
              <w:t>Asset Class</w:t>
            </w:r>
          </w:p>
        </w:tc>
        <w:tc>
          <w:tcPr>
            <w:tcW w:w="1156" w:type="dxa"/>
            <w:shd w:val="clear" w:color="auto" w:fill="8DB3E2" w:themeFill="text2" w:themeFillTint="66"/>
          </w:tcPr>
          <w:p w:rsidR="00E92A48" w:rsidRPr="00BD0CFD" w:rsidRDefault="00E92A48" w:rsidP="00E92A48">
            <w:pPr>
              <w:rPr>
                <w:rFonts w:ascii="Garamond" w:hAnsi="Garamond" w:cs="Times New Roman"/>
                <w:b/>
              </w:rPr>
            </w:pPr>
            <w:r w:rsidRPr="00BD0CFD">
              <w:rPr>
                <w:rFonts w:ascii="Garamond" w:hAnsi="Garamond" w:cs="Times New Roman"/>
                <w:b/>
              </w:rPr>
              <w:t>Minimum</w:t>
            </w:r>
          </w:p>
        </w:tc>
        <w:tc>
          <w:tcPr>
            <w:tcW w:w="840" w:type="dxa"/>
            <w:shd w:val="clear" w:color="auto" w:fill="8DB3E2" w:themeFill="text2" w:themeFillTint="66"/>
          </w:tcPr>
          <w:p w:rsidR="00E92A48" w:rsidRPr="00BD0CFD" w:rsidRDefault="00E92A48" w:rsidP="00E92A48">
            <w:pPr>
              <w:rPr>
                <w:rFonts w:ascii="Garamond" w:hAnsi="Garamond" w:cs="Times New Roman"/>
                <w:b/>
              </w:rPr>
            </w:pPr>
            <w:r w:rsidRPr="00BD0CFD">
              <w:rPr>
                <w:rFonts w:ascii="Garamond" w:hAnsi="Garamond" w:cs="Times New Roman"/>
                <w:b/>
              </w:rPr>
              <w:t>Target</w:t>
            </w:r>
          </w:p>
        </w:tc>
        <w:tc>
          <w:tcPr>
            <w:tcW w:w="1188" w:type="dxa"/>
            <w:shd w:val="clear" w:color="auto" w:fill="8DB3E2" w:themeFill="text2" w:themeFillTint="66"/>
          </w:tcPr>
          <w:p w:rsidR="00E92A48" w:rsidRPr="00BD0CFD" w:rsidRDefault="00E92A48" w:rsidP="00E92A48">
            <w:pPr>
              <w:rPr>
                <w:rFonts w:ascii="Garamond" w:hAnsi="Garamond" w:cs="Times New Roman"/>
                <w:b/>
              </w:rPr>
            </w:pPr>
            <w:r w:rsidRPr="00BD0CFD">
              <w:rPr>
                <w:rFonts w:ascii="Garamond" w:hAnsi="Garamond" w:cs="Times New Roman"/>
                <w:b/>
              </w:rPr>
              <w:t>Maximum</w:t>
            </w:r>
          </w:p>
        </w:tc>
        <w:tc>
          <w:tcPr>
            <w:tcW w:w="1080" w:type="dxa"/>
            <w:shd w:val="clear" w:color="auto" w:fill="8DB3E2" w:themeFill="text2" w:themeFillTint="66"/>
          </w:tcPr>
          <w:p w:rsidR="00E92A48" w:rsidRPr="00BD0CFD" w:rsidRDefault="00E92A48" w:rsidP="00E92A48">
            <w:pPr>
              <w:rPr>
                <w:rFonts w:ascii="Garamond" w:hAnsi="Garamond" w:cs="Times New Roman"/>
                <w:b/>
              </w:rPr>
            </w:pPr>
            <w:r w:rsidRPr="00BD0CFD">
              <w:rPr>
                <w:rFonts w:ascii="Garamond" w:hAnsi="Garamond" w:cs="Times New Roman"/>
                <w:b/>
              </w:rPr>
              <w:t>Preferred Strategy</w:t>
            </w:r>
          </w:p>
        </w:tc>
        <w:tc>
          <w:tcPr>
            <w:tcW w:w="2808" w:type="dxa"/>
            <w:shd w:val="clear" w:color="auto" w:fill="8DB3E2" w:themeFill="text2" w:themeFillTint="66"/>
          </w:tcPr>
          <w:p w:rsidR="00E92A48" w:rsidRPr="00BD0CFD" w:rsidRDefault="00E92A48" w:rsidP="00E92A48">
            <w:pPr>
              <w:rPr>
                <w:rFonts w:ascii="Garamond" w:hAnsi="Garamond" w:cs="Times New Roman"/>
                <w:b/>
              </w:rPr>
            </w:pPr>
            <w:r w:rsidRPr="00BD0CFD">
              <w:rPr>
                <w:rFonts w:ascii="Garamond" w:hAnsi="Garamond" w:cs="Times New Roman"/>
                <w:b/>
              </w:rPr>
              <w:t>Benchmark</w:t>
            </w:r>
          </w:p>
        </w:tc>
      </w:tr>
      <w:tr w:rsidR="00E92A48" w:rsidRPr="00C66956" w:rsidTr="008A2F9F">
        <w:tc>
          <w:tcPr>
            <w:tcW w:w="2504" w:type="dxa"/>
          </w:tcPr>
          <w:p w:rsidR="00E92A48" w:rsidRPr="00C66956" w:rsidRDefault="00E92A48" w:rsidP="00E92A48">
            <w:pPr>
              <w:rPr>
                <w:rFonts w:ascii="Garamond" w:hAnsi="Garamond" w:cs="Times New Roman"/>
              </w:rPr>
            </w:pPr>
            <w:r w:rsidRPr="00C66956">
              <w:rPr>
                <w:rFonts w:ascii="Garamond" w:hAnsi="Garamond" w:cs="Times New Roman"/>
              </w:rPr>
              <w:t>US Large Cap</w:t>
            </w:r>
          </w:p>
        </w:tc>
        <w:tc>
          <w:tcPr>
            <w:tcW w:w="1156" w:type="dxa"/>
          </w:tcPr>
          <w:p w:rsidR="00E92A48" w:rsidRPr="00C66956" w:rsidRDefault="00E92A48" w:rsidP="00E92A48">
            <w:pPr>
              <w:rPr>
                <w:rFonts w:ascii="Garamond" w:hAnsi="Garamond" w:cs="Times New Roman"/>
              </w:rPr>
            </w:pPr>
            <w:r w:rsidRPr="00C66956">
              <w:rPr>
                <w:rFonts w:ascii="Garamond" w:hAnsi="Garamond" w:cs="Times New Roman"/>
              </w:rPr>
              <w:t>21%</w:t>
            </w:r>
          </w:p>
        </w:tc>
        <w:tc>
          <w:tcPr>
            <w:tcW w:w="840" w:type="dxa"/>
          </w:tcPr>
          <w:p w:rsidR="00E92A48" w:rsidRPr="00C66956" w:rsidRDefault="00E92A48" w:rsidP="00E92A48">
            <w:pPr>
              <w:rPr>
                <w:rFonts w:ascii="Garamond" w:hAnsi="Garamond" w:cs="Times New Roman"/>
              </w:rPr>
            </w:pPr>
            <w:r w:rsidRPr="00C66956">
              <w:rPr>
                <w:rFonts w:ascii="Garamond" w:hAnsi="Garamond" w:cs="Times New Roman"/>
              </w:rPr>
              <w:t>30%</w:t>
            </w:r>
          </w:p>
        </w:tc>
        <w:tc>
          <w:tcPr>
            <w:tcW w:w="1188" w:type="dxa"/>
          </w:tcPr>
          <w:p w:rsidR="00E92A48" w:rsidRPr="00C66956" w:rsidRDefault="00E92A48" w:rsidP="00E92A48">
            <w:pPr>
              <w:rPr>
                <w:rFonts w:ascii="Garamond" w:hAnsi="Garamond" w:cs="Times New Roman"/>
              </w:rPr>
            </w:pPr>
            <w:r w:rsidRPr="00C66956">
              <w:rPr>
                <w:rFonts w:ascii="Garamond" w:hAnsi="Garamond" w:cs="Times New Roman"/>
              </w:rPr>
              <w:t>39%</w:t>
            </w:r>
          </w:p>
        </w:tc>
        <w:tc>
          <w:tcPr>
            <w:tcW w:w="1080" w:type="dxa"/>
          </w:tcPr>
          <w:p w:rsidR="00E92A48" w:rsidRPr="00C66956" w:rsidRDefault="00E92A48" w:rsidP="00E92A48">
            <w:pPr>
              <w:rPr>
                <w:rFonts w:ascii="Garamond" w:hAnsi="Garamond" w:cs="Times New Roman"/>
              </w:rPr>
            </w:pPr>
            <w:r w:rsidRPr="00C66956">
              <w:rPr>
                <w:rFonts w:ascii="Garamond" w:hAnsi="Garamond" w:cs="Times New Roman"/>
              </w:rPr>
              <w:t>Passive</w:t>
            </w:r>
          </w:p>
        </w:tc>
        <w:tc>
          <w:tcPr>
            <w:tcW w:w="2808" w:type="dxa"/>
          </w:tcPr>
          <w:p w:rsidR="00E92A48" w:rsidRPr="00C66956" w:rsidRDefault="00E92A48" w:rsidP="00E92A48">
            <w:pPr>
              <w:rPr>
                <w:rFonts w:ascii="Garamond" w:hAnsi="Garamond" w:cs="Times New Roman"/>
              </w:rPr>
            </w:pPr>
            <w:r w:rsidRPr="00C66956">
              <w:rPr>
                <w:rFonts w:ascii="Garamond" w:hAnsi="Garamond" w:cs="Times New Roman"/>
              </w:rPr>
              <w:t>S&amp;P 500</w:t>
            </w:r>
          </w:p>
        </w:tc>
      </w:tr>
      <w:tr w:rsidR="00E92A48" w:rsidRPr="00C66956" w:rsidTr="008A2F9F">
        <w:tc>
          <w:tcPr>
            <w:tcW w:w="2504" w:type="dxa"/>
          </w:tcPr>
          <w:p w:rsidR="00E92A48" w:rsidRPr="00C66956" w:rsidRDefault="00E92A48" w:rsidP="00E92A48">
            <w:pPr>
              <w:rPr>
                <w:rFonts w:ascii="Garamond" w:hAnsi="Garamond" w:cs="Times New Roman"/>
              </w:rPr>
            </w:pPr>
            <w:r w:rsidRPr="00C66956">
              <w:rPr>
                <w:rFonts w:ascii="Garamond" w:hAnsi="Garamond" w:cs="Times New Roman"/>
              </w:rPr>
              <w:t>Mid Cap</w:t>
            </w:r>
          </w:p>
        </w:tc>
        <w:tc>
          <w:tcPr>
            <w:tcW w:w="1156" w:type="dxa"/>
          </w:tcPr>
          <w:p w:rsidR="00E92A48" w:rsidRPr="00C66956" w:rsidRDefault="00E92A48" w:rsidP="00E92A48">
            <w:pPr>
              <w:rPr>
                <w:rFonts w:ascii="Garamond" w:hAnsi="Garamond" w:cs="Times New Roman"/>
              </w:rPr>
            </w:pPr>
            <w:r>
              <w:rPr>
                <w:rFonts w:ascii="Garamond" w:hAnsi="Garamond" w:cs="Times New Roman"/>
              </w:rPr>
              <w:t>5</w:t>
            </w:r>
            <w:r w:rsidRPr="00C66956">
              <w:rPr>
                <w:rFonts w:ascii="Garamond" w:hAnsi="Garamond" w:cs="Times New Roman"/>
              </w:rPr>
              <w:t>%</w:t>
            </w:r>
          </w:p>
        </w:tc>
        <w:tc>
          <w:tcPr>
            <w:tcW w:w="840" w:type="dxa"/>
          </w:tcPr>
          <w:p w:rsidR="00E92A48" w:rsidRPr="00C66956" w:rsidRDefault="00E92A48" w:rsidP="00E92A48">
            <w:pPr>
              <w:rPr>
                <w:rFonts w:ascii="Garamond" w:hAnsi="Garamond" w:cs="Times New Roman"/>
              </w:rPr>
            </w:pPr>
            <w:r w:rsidRPr="00C66956">
              <w:rPr>
                <w:rFonts w:ascii="Garamond" w:hAnsi="Garamond" w:cs="Times New Roman"/>
              </w:rPr>
              <w:t>7%</w:t>
            </w:r>
          </w:p>
        </w:tc>
        <w:tc>
          <w:tcPr>
            <w:tcW w:w="1188" w:type="dxa"/>
          </w:tcPr>
          <w:p w:rsidR="00E92A48" w:rsidRPr="00C66956" w:rsidRDefault="00E92A48" w:rsidP="00E92A48">
            <w:pPr>
              <w:rPr>
                <w:rFonts w:ascii="Garamond" w:hAnsi="Garamond" w:cs="Times New Roman"/>
              </w:rPr>
            </w:pPr>
            <w:r>
              <w:rPr>
                <w:rFonts w:ascii="Garamond" w:hAnsi="Garamond" w:cs="Times New Roman"/>
              </w:rPr>
              <w:t>9</w:t>
            </w:r>
            <w:r w:rsidRPr="00C66956">
              <w:rPr>
                <w:rFonts w:ascii="Garamond" w:hAnsi="Garamond" w:cs="Times New Roman"/>
              </w:rPr>
              <w:t>%</w:t>
            </w:r>
          </w:p>
        </w:tc>
        <w:tc>
          <w:tcPr>
            <w:tcW w:w="1080" w:type="dxa"/>
          </w:tcPr>
          <w:p w:rsidR="00E92A48" w:rsidRPr="00C66956" w:rsidRDefault="00E92A48" w:rsidP="00E92A48">
            <w:pPr>
              <w:rPr>
                <w:rFonts w:ascii="Garamond" w:hAnsi="Garamond" w:cs="Times New Roman"/>
              </w:rPr>
            </w:pPr>
            <w:r w:rsidRPr="00C66956">
              <w:rPr>
                <w:rFonts w:ascii="Garamond" w:hAnsi="Garamond" w:cs="Times New Roman"/>
              </w:rPr>
              <w:t>Passive</w:t>
            </w:r>
          </w:p>
        </w:tc>
        <w:tc>
          <w:tcPr>
            <w:tcW w:w="2808" w:type="dxa"/>
          </w:tcPr>
          <w:p w:rsidR="00E92A48" w:rsidRPr="00C66956" w:rsidRDefault="00E92A48" w:rsidP="00E92A48">
            <w:pPr>
              <w:rPr>
                <w:rFonts w:ascii="Garamond" w:hAnsi="Garamond" w:cs="Times New Roman"/>
              </w:rPr>
            </w:pPr>
            <w:r w:rsidRPr="00C66956">
              <w:rPr>
                <w:rFonts w:ascii="Garamond" w:hAnsi="Garamond" w:cs="Times New Roman"/>
              </w:rPr>
              <w:t>Russell Mid Cap</w:t>
            </w:r>
          </w:p>
        </w:tc>
      </w:tr>
      <w:tr w:rsidR="00E92A48" w:rsidRPr="00C66956" w:rsidTr="008A2F9F">
        <w:tc>
          <w:tcPr>
            <w:tcW w:w="2504" w:type="dxa"/>
          </w:tcPr>
          <w:p w:rsidR="00E92A48" w:rsidRPr="00C66956" w:rsidRDefault="00E92A48" w:rsidP="00E92A48">
            <w:pPr>
              <w:rPr>
                <w:rFonts w:ascii="Garamond" w:hAnsi="Garamond" w:cs="Times New Roman"/>
              </w:rPr>
            </w:pPr>
            <w:r w:rsidRPr="00C66956">
              <w:rPr>
                <w:rFonts w:ascii="Garamond" w:hAnsi="Garamond" w:cs="Times New Roman"/>
              </w:rPr>
              <w:t>Small Cap</w:t>
            </w:r>
          </w:p>
        </w:tc>
        <w:tc>
          <w:tcPr>
            <w:tcW w:w="1156" w:type="dxa"/>
          </w:tcPr>
          <w:p w:rsidR="00E92A48" w:rsidRPr="00C66956" w:rsidRDefault="00E92A48" w:rsidP="00E92A48">
            <w:pPr>
              <w:rPr>
                <w:rFonts w:ascii="Garamond" w:hAnsi="Garamond" w:cs="Times New Roman"/>
              </w:rPr>
            </w:pPr>
            <w:r w:rsidRPr="00C66956">
              <w:rPr>
                <w:rFonts w:ascii="Garamond" w:hAnsi="Garamond" w:cs="Times New Roman"/>
              </w:rPr>
              <w:t>2%</w:t>
            </w:r>
          </w:p>
        </w:tc>
        <w:tc>
          <w:tcPr>
            <w:tcW w:w="840" w:type="dxa"/>
          </w:tcPr>
          <w:p w:rsidR="00E92A48" w:rsidRPr="00C66956" w:rsidRDefault="00E92A48" w:rsidP="00E92A48">
            <w:pPr>
              <w:rPr>
                <w:rFonts w:ascii="Garamond" w:hAnsi="Garamond" w:cs="Times New Roman"/>
              </w:rPr>
            </w:pPr>
            <w:r w:rsidRPr="00C66956">
              <w:rPr>
                <w:rFonts w:ascii="Garamond" w:hAnsi="Garamond" w:cs="Times New Roman"/>
              </w:rPr>
              <w:t>3%</w:t>
            </w:r>
          </w:p>
        </w:tc>
        <w:tc>
          <w:tcPr>
            <w:tcW w:w="1188" w:type="dxa"/>
          </w:tcPr>
          <w:p w:rsidR="00E92A48" w:rsidRPr="00C66956" w:rsidRDefault="00E92A48" w:rsidP="00E92A48">
            <w:pPr>
              <w:rPr>
                <w:rFonts w:ascii="Garamond" w:hAnsi="Garamond" w:cs="Times New Roman"/>
              </w:rPr>
            </w:pPr>
            <w:r w:rsidRPr="00C66956">
              <w:rPr>
                <w:rFonts w:ascii="Garamond" w:hAnsi="Garamond" w:cs="Times New Roman"/>
              </w:rPr>
              <w:t>4%</w:t>
            </w:r>
          </w:p>
        </w:tc>
        <w:tc>
          <w:tcPr>
            <w:tcW w:w="1080" w:type="dxa"/>
          </w:tcPr>
          <w:p w:rsidR="00E92A48" w:rsidRPr="00C66956" w:rsidRDefault="00E92A48" w:rsidP="00E92A48">
            <w:pPr>
              <w:rPr>
                <w:rFonts w:ascii="Garamond" w:hAnsi="Garamond" w:cs="Times New Roman"/>
              </w:rPr>
            </w:pPr>
            <w:r w:rsidRPr="00C66956">
              <w:rPr>
                <w:rFonts w:ascii="Garamond" w:hAnsi="Garamond" w:cs="Times New Roman"/>
              </w:rPr>
              <w:t>Passive</w:t>
            </w:r>
          </w:p>
        </w:tc>
        <w:tc>
          <w:tcPr>
            <w:tcW w:w="2808" w:type="dxa"/>
          </w:tcPr>
          <w:p w:rsidR="00E92A48" w:rsidRPr="00C66956" w:rsidRDefault="00E92A48" w:rsidP="00E92A48">
            <w:pPr>
              <w:rPr>
                <w:rFonts w:ascii="Garamond" w:hAnsi="Garamond" w:cs="Times New Roman"/>
              </w:rPr>
            </w:pPr>
            <w:r w:rsidRPr="00C66956">
              <w:rPr>
                <w:rFonts w:ascii="Garamond" w:hAnsi="Garamond" w:cs="Times New Roman"/>
              </w:rPr>
              <w:t>Russell 2000</w:t>
            </w:r>
          </w:p>
        </w:tc>
      </w:tr>
      <w:tr w:rsidR="00E92A48" w:rsidRPr="00C66956" w:rsidTr="008A2F9F">
        <w:tc>
          <w:tcPr>
            <w:tcW w:w="2504" w:type="dxa"/>
          </w:tcPr>
          <w:p w:rsidR="00E92A48" w:rsidRPr="00C66956" w:rsidRDefault="00E92A48" w:rsidP="00E92A48">
            <w:pPr>
              <w:rPr>
                <w:rFonts w:ascii="Garamond" w:hAnsi="Garamond" w:cs="Times New Roman"/>
              </w:rPr>
            </w:pPr>
            <w:r w:rsidRPr="00C66956">
              <w:rPr>
                <w:rFonts w:ascii="Garamond" w:hAnsi="Garamond" w:cs="Times New Roman"/>
              </w:rPr>
              <w:t>Dev Market International Equity</w:t>
            </w:r>
          </w:p>
        </w:tc>
        <w:tc>
          <w:tcPr>
            <w:tcW w:w="1156" w:type="dxa"/>
          </w:tcPr>
          <w:p w:rsidR="00E92A48" w:rsidRPr="00C66956" w:rsidRDefault="00E92A48" w:rsidP="00E92A48">
            <w:pPr>
              <w:rPr>
                <w:rFonts w:ascii="Garamond" w:hAnsi="Garamond" w:cs="Times New Roman"/>
              </w:rPr>
            </w:pPr>
            <w:r w:rsidRPr="00C66956">
              <w:rPr>
                <w:rFonts w:ascii="Garamond" w:hAnsi="Garamond" w:cs="Times New Roman"/>
              </w:rPr>
              <w:t>7%</w:t>
            </w:r>
          </w:p>
        </w:tc>
        <w:tc>
          <w:tcPr>
            <w:tcW w:w="840" w:type="dxa"/>
          </w:tcPr>
          <w:p w:rsidR="00E92A48" w:rsidRPr="00C66956" w:rsidRDefault="00E92A48" w:rsidP="00E92A48">
            <w:pPr>
              <w:rPr>
                <w:rFonts w:ascii="Garamond" w:hAnsi="Garamond" w:cs="Times New Roman"/>
              </w:rPr>
            </w:pPr>
            <w:r w:rsidRPr="00C66956">
              <w:rPr>
                <w:rFonts w:ascii="Garamond" w:hAnsi="Garamond" w:cs="Times New Roman"/>
              </w:rPr>
              <w:t>10%</w:t>
            </w:r>
          </w:p>
        </w:tc>
        <w:tc>
          <w:tcPr>
            <w:tcW w:w="1188" w:type="dxa"/>
          </w:tcPr>
          <w:p w:rsidR="00E92A48" w:rsidRPr="00C66956" w:rsidRDefault="00E92A48" w:rsidP="00E92A48">
            <w:pPr>
              <w:rPr>
                <w:rFonts w:ascii="Garamond" w:hAnsi="Garamond" w:cs="Times New Roman"/>
              </w:rPr>
            </w:pPr>
            <w:r w:rsidRPr="00C66956">
              <w:rPr>
                <w:rFonts w:ascii="Garamond" w:hAnsi="Garamond" w:cs="Times New Roman"/>
              </w:rPr>
              <w:t>13%</w:t>
            </w:r>
          </w:p>
        </w:tc>
        <w:tc>
          <w:tcPr>
            <w:tcW w:w="1080" w:type="dxa"/>
          </w:tcPr>
          <w:p w:rsidR="00E92A48" w:rsidRPr="00C66956" w:rsidRDefault="00E92A48" w:rsidP="00E92A48">
            <w:pPr>
              <w:rPr>
                <w:rFonts w:ascii="Garamond" w:hAnsi="Garamond" w:cs="Times New Roman"/>
              </w:rPr>
            </w:pPr>
            <w:r w:rsidRPr="00C66956">
              <w:rPr>
                <w:rFonts w:ascii="Garamond" w:hAnsi="Garamond" w:cs="Times New Roman"/>
              </w:rPr>
              <w:t>Active</w:t>
            </w:r>
          </w:p>
        </w:tc>
        <w:tc>
          <w:tcPr>
            <w:tcW w:w="2808" w:type="dxa"/>
          </w:tcPr>
          <w:p w:rsidR="00E92A48" w:rsidRPr="00C66956" w:rsidRDefault="00E92A48" w:rsidP="00E92A48">
            <w:pPr>
              <w:rPr>
                <w:rFonts w:ascii="Garamond" w:hAnsi="Garamond" w:cs="Times New Roman"/>
              </w:rPr>
            </w:pPr>
            <w:r w:rsidRPr="00C66956">
              <w:rPr>
                <w:rFonts w:ascii="Garamond" w:hAnsi="Garamond" w:cs="Times New Roman"/>
              </w:rPr>
              <w:t xml:space="preserve">MSCI EAFE </w:t>
            </w:r>
            <w:r w:rsidRPr="00C66956">
              <w:rPr>
                <w:rFonts w:ascii="Garamond" w:hAnsi="Garamond" w:cs="Times New Roman"/>
                <w:sz w:val="20"/>
                <w:szCs w:val="20"/>
              </w:rPr>
              <w:t>(net total return)</w:t>
            </w:r>
          </w:p>
        </w:tc>
      </w:tr>
      <w:tr w:rsidR="00E92A48" w:rsidRPr="00C66956" w:rsidTr="008A2F9F">
        <w:tc>
          <w:tcPr>
            <w:tcW w:w="2504" w:type="dxa"/>
          </w:tcPr>
          <w:p w:rsidR="00E92A48" w:rsidRPr="00C66956" w:rsidRDefault="00E92A48" w:rsidP="00E92A48">
            <w:pPr>
              <w:rPr>
                <w:rFonts w:ascii="Garamond" w:hAnsi="Garamond" w:cs="Times New Roman"/>
              </w:rPr>
            </w:pPr>
            <w:r w:rsidRPr="00C66956">
              <w:rPr>
                <w:rFonts w:ascii="Garamond" w:hAnsi="Garamond" w:cs="Times New Roman"/>
              </w:rPr>
              <w:t>Emerging Market Equity</w:t>
            </w:r>
          </w:p>
        </w:tc>
        <w:tc>
          <w:tcPr>
            <w:tcW w:w="1156" w:type="dxa"/>
          </w:tcPr>
          <w:p w:rsidR="00E92A48" w:rsidRPr="00C66956" w:rsidRDefault="00E92A48" w:rsidP="00E92A48">
            <w:pPr>
              <w:rPr>
                <w:rFonts w:ascii="Garamond" w:hAnsi="Garamond" w:cs="Times New Roman"/>
              </w:rPr>
            </w:pPr>
            <w:r w:rsidRPr="00C66956">
              <w:rPr>
                <w:rFonts w:ascii="Garamond" w:hAnsi="Garamond" w:cs="Times New Roman"/>
              </w:rPr>
              <w:t>7%</w:t>
            </w:r>
          </w:p>
        </w:tc>
        <w:tc>
          <w:tcPr>
            <w:tcW w:w="840" w:type="dxa"/>
          </w:tcPr>
          <w:p w:rsidR="00E92A48" w:rsidRPr="00C66956" w:rsidRDefault="00E92A48" w:rsidP="00E92A48">
            <w:pPr>
              <w:rPr>
                <w:rFonts w:ascii="Garamond" w:hAnsi="Garamond" w:cs="Times New Roman"/>
              </w:rPr>
            </w:pPr>
            <w:r w:rsidRPr="00C66956">
              <w:rPr>
                <w:rFonts w:ascii="Garamond" w:hAnsi="Garamond" w:cs="Times New Roman"/>
              </w:rPr>
              <w:t>10%</w:t>
            </w:r>
          </w:p>
        </w:tc>
        <w:tc>
          <w:tcPr>
            <w:tcW w:w="1188" w:type="dxa"/>
          </w:tcPr>
          <w:p w:rsidR="00E92A48" w:rsidRPr="00C66956" w:rsidRDefault="00E92A48" w:rsidP="00E92A48">
            <w:pPr>
              <w:rPr>
                <w:rFonts w:ascii="Garamond" w:hAnsi="Garamond" w:cs="Times New Roman"/>
              </w:rPr>
            </w:pPr>
            <w:r w:rsidRPr="00C66956">
              <w:rPr>
                <w:rFonts w:ascii="Garamond" w:hAnsi="Garamond" w:cs="Times New Roman"/>
              </w:rPr>
              <w:t>13%</w:t>
            </w:r>
          </w:p>
        </w:tc>
        <w:tc>
          <w:tcPr>
            <w:tcW w:w="1080" w:type="dxa"/>
          </w:tcPr>
          <w:p w:rsidR="00E92A48" w:rsidRPr="00C66956" w:rsidRDefault="00E92A48" w:rsidP="00E92A48">
            <w:pPr>
              <w:rPr>
                <w:rFonts w:ascii="Garamond" w:hAnsi="Garamond" w:cs="Times New Roman"/>
              </w:rPr>
            </w:pPr>
            <w:r w:rsidRPr="00C66956">
              <w:rPr>
                <w:rFonts w:ascii="Garamond" w:hAnsi="Garamond" w:cs="Times New Roman"/>
              </w:rPr>
              <w:t>Active</w:t>
            </w:r>
          </w:p>
        </w:tc>
        <w:tc>
          <w:tcPr>
            <w:tcW w:w="2808" w:type="dxa"/>
          </w:tcPr>
          <w:p w:rsidR="00E92A48" w:rsidRPr="00C66956" w:rsidRDefault="00E92A48" w:rsidP="00E92A48">
            <w:pPr>
              <w:rPr>
                <w:rFonts w:ascii="Garamond" w:hAnsi="Garamond" w:cs="Times New Roman"/>
              </w:rPr>
            </w:pPr>
            <w:r w:rsidRPr="00C66956">
              <w:rPr>
                <w:rFonts w:ascii="Garamond" w:hAnsi="Garamond" w:cs="Times New Roman"/>
              </w:rPr>
              <w:t xml:space="preserve">MSCI Emerging Markets </w:t>
            </w:r>
            <w:r w:rsidRPr="00C66956">
              <w:rPr>
                <w:rFonts w:ascii="Garamond" w:hAnsi="Garamond" w:cs="Times New Roman"/>
                <w:sz w:val="20"/>
                <w:szCs w:val="20"/>
              </w:rPr>
              <w:t>(net)</w:t>
            </w:r>
          </w:p>
        </w:tc>
      </w:tr>
      <w:tr w:rsidR="00E92A48" w:rsidRPr="00C66956" w:rsidTr="008A2F9F">
        <w:tc>
          <w:tcPr>
            <w:tcW w:w="2504" w:type="dxa"/>
          </w:tcPr>
          <w:p w:rsidR="00E92A48" w:rsidRPr="00C66956" w:rsidRDefault="00E92A48" w:rsidP="00E92A48">
            <w:pPr>
              <w:rPr>
                <w:rFonts w:ascii="Garamond" w:hAnsi="Garamond" w:cs="Times New Roman"/>
              </w:rPr>
            </w:pPr>
            <w:r w:rsidRPr="00C66956">
              <w:rPr>
                <w:rFonts w:ascii="Garamond" w:hAnsi="Garamond" w:cs="Times New Roman"/>
              </w:rPr>
              <w:t>Sub Total Equity</w:t>
            </w:r>
          </w:p>
        </w:tc>
        <w:tc>
          <w:tcPr>
            <w:tcW w:w="1156" w:type="dxa"/>
          </w:tcPr>
          <w:p w:rsidR="00E92A48" w:rsidRPr="00C66956" w:rsidRDefault="00E92A48" w:rsidP="00E92A48">
            <w:pPr>
              <w:rPr>
                <w:rFonts w:ascii="Garamond" w:hAnsi="Garamond" w:cs="Times New Roman"/>
              </w:rPr>
            </w:pPr>
            <w:r w:rsidRPr="00C66956">
              <w:rPr>
                <w:rFonts w:ascii="Garamond" w:hAnsi="Garamond" w:cs="Times New Roman"/>
              </w:rPr>
              <w:t>50%</w:t>
            </w:r>
          </w:p>
        </w:tc>
        <w:tc>
          <w:tcPr>
            <w:tcW w:w="840" w:type="dxa"/>
          </w:tcPr>
          <w:p w:rsidR="00E92A48" w:rsidRPr="00C66956" w:rsidRDefault="00E92A48" w:rsidP="00E92A48">
            <w:pPr>
              <w:rPr>
                <w:rFonts w:ascii="Garamond" w:hAnsi="Garamond" w:cs="Times New Roman"/>
              </w:rPr>
            </w:pPr>
            <w:r w:rsidRPr="00C66956">
              <w:rPr>
                <w:rFonts w:ascii="Garamond" w:hAnsi="Garamond" w:cs="Times New Roman"/>
              </w:rPr>
              <w:t>60%</w:t>
            </w:r>
          </w:p>
        </w:tc>
        <w:tc>
          <w:tcPr>
            <w:tcW w:w="1188" w:type="dxa"/>
          </w:tcPr>
          <w:p w:rsidR="00E92A48" w:rsidRPr="00C66956" w:rsidRDefault="00E92A48" w:rsidP="00E92A48">
            <w:pPr>
              <w:rPr>
                <w:rFonts w:ascii="Garamond" w:hAnsi="Garamond" w:cs="Times New Roman"/>
              </w:rPr>
            </w:pPr>
            <w:r w:rsidRPr="00C66956">
              <w:rPr>
                <w:rFonts w:ascii="Garamond" w:hAnsi="Garamond" w:cs="Times New Roman"/>
              </w:rPr>
              <w:t>70%</w:t>
            </w:r>
          </w:p>
        </w:tc>
        <w:tc>
          <w:tcPr>
            <w:tcW w:w="1080" w:type="dxa"/>
          </w:tcPr>
          <w:p w:rsidR="00E92A48" w:rsidRPr="00C66956" w:rsidRDefault="00E92A48" w:rsidP="00E92A48">
            <w:pPr>
              <w:rPr>
                <w:rFonts w:ascii="Garamond" w:hAnsi="Garamond" w:cs="Times New Roman"/>
              </w:rPr>
            </w:pPr>
          </w:p>
        </w:tc>
        <w:tc>
          <w:tcPr>
            <w:tcW w:w="2808" w:type="dxa"/>
          </w:tcPr>
          <w:p w:rsidR="00E92A48" w:rsidRPr="00C66956" w:rsidRDefault="00E92A48" w:rsidP="00E92A48">
            <w:pPr>
              <w:rPr>
                <w:rFonts w:ascii="Garamond" w:hAnsi="Garamond" w:cs="Times New Roman"/>
              </w:rPr>
            </w:pPr>
          </w:p>
        </w:tc>
      </w:tr>
      <w:tr w:rsidR="00E92A48" w:rsidRPr="00C66956" w:rsidTr="008A2F9F">
        <w:tc>
          <w:tcPr>
            <w:tcW w:w="2504" w:type="dxa"/>
          </w:tcPr>
          <w:p w:rsidR="00E92A48" w:rsidRPr="00C66956" w:rsidRDefault="00E92A48" w:rsidP="00E92A48">
            <w:pPr>
              <w:rPr>
                <w:rFonts w:ascii="Garamond" w:hAnsi="Garamond" w:cs="Times New Roman"/>
              </w:rPr>
            </w:pPr>
            <w:r w:rsidRPr="00C66956">
              <w:rPr>
                <w:rFonts w:ascii="Garamond" w:hAnsi="Garamond" w:cs="Times New Roman"/>
              </w:rPr>
              <w:t>Investment Grade Bonds</w:t>
            </w:r>
            <w:r>
              <w:rPr>
                <w:rFonts w:ascii="Garamond" w:hAnsi="Garamond" w:cs="Times New Roman"/>
              </w:rPr>
              <w:t>*</w:t>
            </w:r>
          </w:p>
        </w:tc>
        <w:tc>
          <w:tcPr>
            <w:tcW w:w="1156" w:type="dxa"/>
          </w:tcPr>
          <w:p w:rsidR="00E92A48" w:rsidRPr="00C66956" w:rsidRDefault="00E92A48" w:rsidP="00E92A48">
            <w:pPr>
              <w:rPr>
                <w:rFonts w:ascii="Garamond" w:hAnsi="Garamond" w:cs="Times New Roman"/>
              </w:rPr>
            </w:pPr>
            <w:r w:rsidRPr="00C66956">
              <w:rPr>
                <w:rFonts w:ascii="Garamond" w:hAnsi="Garamond" w:cs="Times New Roman"/>
              </w:rPr>
              <w:t>12%</w:t>
            </w:r>
          </w:p>
        </w:tc>
        <w:tc>
          <w:tcPr>
            <w:tcW w:w="840" w:type="dxa"/>
          </w:tcPr>
          <w:p w:rsidR="00E92A48" w:rsidRPr="00C66956" w:rsidRDefault="00E92A48" w:rsidP="00E92A48">
            <w:pPr>
              <w:rPr>
                <w:rFonts w:ascii="Garamond" w:hAnsi="Garamond" w:cs="Times New Roman"/>
              </w:rPr>
            </w:pPr>
            <w:r w:rsidRPr="00C66956">
              <w:rPr>
                <w:rFonts w:ascii="Garamond" w:hAnsi="Garamond" w:cs="Times New Roman"/>
              </w:rPr>
              <w:t>17%</w:t>
            </w:r>
          </w:p>
        </w:tc>
        <w:tc>
          <w:tcPr>
            <w:tcW w:w="1188" w:type="dxa"/>
          </w:tcPr>
          <w:p w:rsidR="00E92A48" w:rsidRPr="00C66956" w:rsidRDefault="00E92A48" w:rsidP="00E92A48">
            <w:pPr>
              <w:rPr>
                <w:rFonts w:ascii="Garamond" w:hAnsi="Garamond" w:cs="Times New Roman"/>
              </w:rPr>
            </w:pPr>
            <w:r w:rsidRPr="00C66956">
              <w:rPr>
                <w:rFonts w:ascii="Garamond" w:hAnsi="Garamond" w:cs="Times New Roman"/>
              </w:rPr>
              <w:t>22%</w:t>
            </w:r>
          </w:p>
        </w:tc>
        <w:tc>
          <w:tcPr>
            <w:tcW w:w="1080" w:type="dxa"/>
          </w:tcPr>
          <w:p w:rsidR="00E92A48" w:rsidRPr="00C66956" w:rsidRDefault="00E92A48" w:rsidP="00E92A48">
            <w:pPr>
              <w:rPr>
                <w:rFonts w:ascii="Garamond" w:hAnsi="Garamond" w:cs="Times New Roman"/>
              </w:rPr>
            </w:pPr>
            <w:r w:rsidRPr="00C66956">
              <w:rPr>
                <w:rFonts w:ascii="Garamond" w:hAnsi="Garamond" w:cs="Times New Roman"/>
              </w:rPr>
              <w:t>Active</w:t>
            </w:r>
          </w:p>
        </w:tc>
        <w:tc>
          <w:tcPr>
            <w:tcW w:w="2808" w:type="dxa"/>
          </w:tcPr>
          <w:p w:rsidR="00E92A48" w:rsidRPr="00C66956" w:rsidRDefault="00E92A48" w:rsidP="00E92A48">
            <w:pPr>
              <w:rPr>
                <w:rFonts w:ascii="Garamond" w:hAnsi="Garamond" w:cs="Times New Roman"/>
              </w:rPr>
            </w:pPr>
            <w:r w:rsidRPr="00C66956">
              <w:rPr>
                <w:rFonts w:ascii="Garamond" w:hAnsi="Garamond" w:cs="Times New Roman"/>
              </w:rPr>
              <w:t>Barclays Aggregate</w:t>
            </w:r>
          </w:p>
        </w:tc>
      </w:tr>
      <w:tr w:rsidR="00E92A48" w:rsidRPr="00C66956" w:rsidTr="008A2F9F">
        <w:tc>
          <w:tcPr>
            <w:tcW w:w="2504" w:type="dxa"/>
          </w:tcPr>
          <w:p w:rsidR="00E92A48" w:rsidRPr="00C66956" w:rsidRDefault="00E92A48" w:rsidP="00E92A48">
            <w:pPr>
              <w:rPr>
                <w:rFonts w:ascii="Garamond" w:hAnsi="Garamond" w:cs="Times New Roman"/>
              </w:rPr>
            </w:pPr>
            <w:r>
              <w:rPr>
                <w:rFonts w:ascii="Garamond" w:hAnsi="Garamond" w:cs="Times New Roman"/>
              </w:rPr>
              <w:t>Ultra-Short-T</w:t>
            </w:r>
            <w:r w:rsidRPr="00C66956">
              <w:rPr>
                <w:rFonts w:ascii="Garamond" w:hAnsi="Garamond" w:cs="Times New Roman"/>
              </w:rPr>
              <w:t>erm Bonds</w:t>
            </w:r>
            <w:r>
              <w:rPr>
                <w:rFonts w:ascii="Garamond" w:hAnsi="Garamond" w:cs="Times New Roman"/>
              </w:rPr>
              <w:t>*</w:t>
            </w:r>
          </w:p>
        </w:tc>
        <w:tc>
          <w:tcPr>
            <w:tcW w:w="1156" w:type="dxa"/>
          </w:tcPr>
          <w:p w:rsidR="00E92A48" w:rsidRPr="00C66956" w:rsidRDefault="00E92A48" w:rsidP="00E92A48">
            <w:pPr>
              <w:rPr>
                <w:rFonts w:ascii="Garamond" w:hAnsi="Garamond" w:cs="Times New Roman"/>
              </w:rPr>
            </w:pPr>
            <w:r w:rsidRPr="00C66956">
              <w:rPr>
                <w:rFonts w:ascii="Garamond" w:hAnsi="Garamond" w:cs="Times New Roman"/>
              </w:rPr>
              <w:t>4%</w:t>
            </w:r>
          </w:p>
        </w:tc>
        <w:tc>
          <w:tcPr>
            <w:tcW w:w="840" w:type="dxa"/>
          </w:tcPr>
          <w:p w:rsidR="00E92A48" w:rsidRPr="00C66956" w:rsidRDefault="00E92A48" w:rsidP="00E92A48">
            <w:pPr>
              <w:rPr>
                <w:rFonts w:ascii="Garamond" w:hAnsi="Garamond" w:cs="Times New Roman"/>
              </w:rPr>
            </w:pPr>
            <w:r w:rsidRPr="00C66956">
              <w:rPr>
                <w:rFonts w:ascii="Garamond" w:hAnsi="Garamond" w:cs="Times New Roman"/>
              </w:rPr>
              <w:t>6%</w:t>
            </w:r>
          </w:p>
        </w:tc>
        <w:tc>
          <w:tcPr>
            <w:tcW w:w="1188" w:type="dxa"/>
          </w:tcPr>
          <w:p w:rsidR="00E92A48" w:rsidRPr="00C66956" w:rsidRDefault="00E92A48" w:rsidP="00E92A48">
            <w:pPr>
              <w:rPr>
                <w:rFonts w:ascii="Garamond" w:hAnsi="Garamond" w:cs="Times New Roman"/>
              </w:rPr>
            </w:pPr>
            <w:r w:rsidRPr="00C66956">
              <w:rPr>
                <w:rFonts w:ascii="Garamond" w:hAnsi="Garamond" w:cs="Times New Roman"/>
              </w:rPr>
              <w:t>8%</w:t>
            </w:r>
          </w:p>
        </w:tc>
        <w:tc>
          <w:tcPr>
            <w:tcW w:w="1080" w:type="dxa"/>
          </w:tcPr>
          <w:p w:rsidR="00E92A48" w:rsidRPr="00C66956" w:rsidRDefault="00E92A48" w:rsidP="00E92A48">
            <w:pPr>
              <w:rPr>
                <w:rFonts w:ascii="Garamond" w:hAnsi="Garamond" w:cs="Times New Roman"/>
              </w:rPr>
            </w:pPr>
          </w:p>
        </w:tc>
        <w:tc>
          <w:tcPr>
            <w:tcW w:w="2808" w:type="dxa"/>
          </w:tcPr>
          <w:p w:rsidR="00E92A48" w:rsidRPr="00C66956" w:rsidRDefault="00E92A48" w:rsidP="00E92A48">
            <w:pPr>
              <w:rPr>
                <w:rFonts w:ascii="Garamond" w:hAnsi="Garamond" w:cs="Times New Roman"/>
              </w:rPr>
            </w:pPr>
            <w:r w:rsidRPr="00C66956">
              <w:rPr>
                <w:rFonts w:ascii="Garamond" w:hAnsi="Garamond" w:cs="Times New Roman"/>
              </w:rPr>
              <w:t>Barclays Credit 1-5 years</w:t>
            </w:r>
          </w:p>
        </w:tc>
      </w:tr>
      <w:tr w:rsidR="00E92A48" w:rsidRPr="00C66956" w:rsidTr="008A2F9F">
        <w:tc>
          <w:tcPr>
            <w:tcW w:w="2504" w:type="dxa"/>
          </w:tcPr>
          <w:p w:rsidR="00E92A48" w:rsidRPr="00C66956" w:rsidRDefault="00E92A48" w:rsidP="00E92A48">
            <w:pPr>
              <w:rPr>
                <w:rFonts w:ascii="Garamond" w:hAnsi="Garamond" w:cs="Times New Roman"/>
              </w:rPr>
            </w:pPr>
            <w:r w:rsidRPr="00C66956">
              <w:rPr>
                <w:rFonts w:ascii="Garamond" w:hAnsi="Garamond" w:cs="Times New Roman"/>
              </w:rPr>
              <w:t>High Yield</w:t>
            </w:r>
          </w:p>
        </w:tc>
        <w:tc>
          <w:tcPr>
            <w:tcW w:w="1156" w:type="dxa"/>
          </w:tcPr>
          <w:p w:rsidR="00E92A48" w:rsidRPr="00C66956" w:rsidRDefault="00E92A48" w:rsidP="00E92A48">
            <w:pPr>
              <w:rPr>
                <w:rFonts w:ascii="Garamond" w:hAnsi="Garamond" w:cs="Times New Roman"/>
              </w:rPr>
            </w:pPr>
            <w:r w:rsidRPr="00C66956">
              <w:rPr>
                <w:rFonts w:ascii="Garamond" w:hAnsi="Garamond" w:cs="Times New Roman"/>
              </w:rPr>
              <w:t>7%</w:t>
            </w:r>
          </w:p>
        </w:tc>
        <w:tc>
          <w:tcPr>
            <w:tcW w:w="840" w:type="dxa"/>
          </w:tcPr>
          <w:p w:rsidR="00E92A48" w:rsidRPr="00C66956" w:rsidRDefault="00E92A48" w:rsidP="00E92A48">
            <w:pPr>
              <w:rPr>
                <w:rFonts w:ascii="Garamond" w:hAnsi="Garamond" w:cs="Times New Roman"/>
              </w:rPr>
            </w:pPr>
            <w:r w:rsidRPr="00C66956">
              <w:rPr>
                <w:rFonts w:ascii="Garamond" w:hAnsi="Garamond" w:cs="Times New Roman"/>
              </w:rPr>
              <w:t>10%</w:t>
            </w:r>
          </w:p>
        </w:tc>
        <w:tc>
          <w:tcPr>
            <w:tcW w:w="1188" w:type="dxa"/>
          </w:tcPr>
          <w:p w:rsidR="00E92A48" w:rsidRPr="00C66956" w:rsidRDefault="00E92A48" w:rsidP="00E92A48">
            <w:pPr>
              <w:rPr>
                <w:rFonts w:ascii="Garamond" w:hAnsi="Garamond" w:cs="Times New Roman"/>
              </w:rPr>
            </w:pPr>
            <w:r w:rsidRPr="00C66956">
              <w:rPr>
                <w:rFonts w:ascii="Garamond" w:hAnsi="Garamond" w:cs="Times New Roman"/>
              </w:rPr>
              <w:t>13%</w:t>
            </w:r>
          </w:p>
        </w:tc>
        <w:tc>
          <w:tcPr>
            <w:tcW w:w="1080" w:type="dxa"/>
          </w:tcPr>
          <w:p w:rsidR="00E92A48" w:rsidRPr="00C66956" w:rsidRDefault="00E92A48" w:rsidP="00E92A48">
            <w:pPr>
              <w:rPr>
                <w:rFonts w:ascii="Garamond" w:hAnsi="Garamond" w:cs="Times New Roman"/>
              </w:rPr>
            </w:pPr>
            <w:r w:rsidRPr="00C66956">
              <w:rPr>
                <w:rFonts w:ascii="Garamond" w:hAnsi="Garamond" w:cs="Times New Roman"/>
              </w:rPr>
              <w:t>Active</w:t>
            </w:r>
          </w:p>
        </w:tc>
        <w:tc>
          <w:tcPr>
            <w:tcW w:w="2808" w:type="dxa"/>
          </w:tcPr>
          <w:p w:rsidR="00E92A48" w:rsidRPr="00C66956" w:rsidRDefault="00E92A48" w:rsidP="00E92A48">
            <w:pPr>
              <w:rPr>
                <w:rFonts w:ascii="Garamond" w:hAnsi="Garamond" w:cs="Times New Roman"/>
              </w:rPr>
            </w:pPr>
            <w:r w:rsidRPr="00C66956">
              <w:rPr>
                <w:rFonts w:ascii="Garamond" w:hAnsi="Garamond" w:cs="Times New Roman"/>
              </w:rPr>
              <w:t>Barclays US Corporate High Yield</w:t>
            </w:r>
          </w:p>
        </w:tc>
      </w:tr>
      <w:tr w:rsidR="00E92A48" w:rsidRPr="00C66956" w:rsidTr="008A2F9F">
        <w:tc>
          <w:tcPr>
            <w:tcW w:w="2504" w:type="dxa"/>
          </w:tcPr>
          <w:p w:rsidR="00E92A48" w:rsidRPr="00C66956" w:rsidRDefault="00E92A48" w:rsidP="00E92A48">
            <w:pPr>
              <w:rPr>
                <w:rFonts w:ascii="Garamond" w:hAnsi="Garamond" w:cs="Times New Roman"/>
              </w:rPr>
            </w:pPr>
            <w:r w:rsidRPr="00C66956">
              <w:rPr>
                <w:rFonts w:ascii="Garamond" w:hAnsi="Garamond" w:cs="Times New Roman"/>
              </w:rPr>
              <w:t>Cash</w:t>
            </w:r>
          </w:p>
        </w:tc>
        <w:tc>
          <w:tcPr>
            <w:tcW w:w="1156" w:type="dxa"/>
          </w:tcPr>
          <w:p w:rsidR="00E92A48" w:rsidRPr="00C66956" w:rsidRDefault="00E92A48" w:rsidP="00E92A48">
            <w:pPr>
              <w:rPr>
                <w:rFonts w:ascii="Garamond" w:hAnsi="Garamond" w:cs="Times New Roman"/>
              </w:rPr>
            </w:pPr>
            <w:r w:rsidRPr="00C66956">
              <w:rPr>
                <w:rFonts w:ascii="Garamond" w:hAnsi="Garamond" w:cs="Times New Roman"/>
              </w:rPr>
              <w:t>2%</w:t>
            </w:r>
          </w:p>
        </w:tc>
        <w:tc>
          <w:tcPr>
            <w:tcW w:w="840" w:type="dxa"/>
          </w:tcPr>
          <w:p w:rsidR="00E92A48" w:rsidRPr="00C66956" w:rsidRDefault="00E92A48" w:rsidP="00E92A48">
            <w:pPr>
              <w:rPr>
                <w:rFonts w:ascii="Garamond" w:hAnsi="Garamond" w:cs="Times New Roman"/>
              </w:rPr>
            </w:pPr>
            <w:r w:rsidRPr="00C66956">
              <w:rPr>
                <w:rFonts w:ascii="Garamond" w:hAnsi="Garamond" w:cs="Times New Roman"/>
              </w:rPr>
              <w:t>7%</w:t>
            </w:r>
          </w:p>
        </w:tc>
        <w:tc>
          <w:tcPr>
            <w:tcW w:w="1188" w:type="dxa"/>
          </w:tcPr>
          <w:p w:rsidR="00E92A48" w:rsidRPr="00C66956" w:rsidRDefault="00E92A48" w:rsidP="00E92A48">
            <w:pPr>
              <w:rPr>
                <w:rFonts w:ascii="Garamond" w:hAnsi="Garamond" w:cs="Times New Roman"/>
              </w:rPr>
            </w:pPr>
            <w:r w:rsidRPr="00C66956">
              <w:rPr>
                <w:rFonts w:ascii="Garamond" w:hAnsi="Garamond" w:cs="Times New Roman"/>
              </w:rPr>
              <w:t>10%</w:t>
            </w:r>
          </w:p>
        </w:tc>
        <w:tc>
          <w:tcPr>
            <w:tcW w:w="1080" w:type="dxa"/>
          </w:tcPr>
          <w:p w:rsidR="00E92A48" w:rsidRPr="00C66956" w:rsidRDefault="00E92A48" w:rsidP="00E92A48">
            <w:pPr>
              <w:rPr>
                <w:rFonts w:ascii="Garamond" w:hAnsi="Garamond" w:cs="Times New Roman"/>
              </w:rPr>
            </w:pPr>
          </w:p>
        </w:tc>
        <w:tc>
          <w:tcPr>
            <w:tcW w:w="2808" w:type="dxa"/>
          </w:tcPr>
          <w:p w:rsidR="00E92A48" w:rsidRPr="00C66956" w:rsidRDefault="00E92A48" w:rsidP="00E92A48">
            <w:pPr>
              <w:rPr>
                <w:rFonts w:ascii="Garamond" w:hAnsi="Garamond" w:cs="Times New Roman"/>
              </w:rPr>
            </w:pPr>
            <w:r w:rsidRPr="00C66956">
              <w:rPr>
                <w:rFonts w:ascii="Garamond" w:hAnsi="Garamond" w:cs="Times New Roman"/>
              </w:rPr>
              <w:t>90 day UST bill</w:t>
            </w:r>
          </w:p>
        </w:tc>
      </w:tr>
      <w:tr w:rsidR="00E92A48" w:rsidRPr="00C66956" w:rsidTr="008A2F9F">
        <w:tc>
          <w:tcPr>
            <w:tcW w:w="2504" w:type="dxa"/>
          </w:tcPr>
          <w:p w:rsidR="00E92A48" w:rsidRPr="00C66956" w:rsidRDefault="00E92A48" w:rsidP="00E92A48">
            <w:pPr>
              <w:rPr>
                <w:rFonts w:ascii="Garamond" w:hAnsi="Garamond" w:cs="Times New Roman"/>
              </w:rPr>
            </w:pPr>
            <w:r w:rsidRPr="00C66956">
              <w:rPr>
                <w:rFonts w:ascii="Garamond" w:hAnsi="Garamond" w:cs="Times New Roman"/>
              </w:rPr>
              <w:t>Subtotal Fixed Income</w:t>
            </w:r>
          </w:p>
        </w:tc>
        <w:tc>
          <w:tcPr>
            <w:tcW w:w="1156" w:type="dxa"/>
          </w:tcPr>
          <w:p w:rsidR="00E92A48" w:rsidRPr="00C66956" w:rsidRDefault="00E92A48" w:rsidP="00E92A48">
            <w:pPr>
              <w:rPr>
                <w:rFonts w:ascii="Garamond" w:hAnsi="Garamond" w:cs="Times New Roman"/>
              </w:rPr>
            </w:pPr>
            <w:r w:rsidRPr="00C66956">
              <w:rPr>
                <w:rFonts w:ascii="Garamond" w:hAnsi="Garamond" w:cs="Times New Roman"/>
              </w:rPr>
              <w:t>30%</w:t>
            </w:r>
          </w:p>
        </w:tc>
        <w:tc>
          <w:tcPr>
            <w:tcW w:w="840" w:type="dxa"/>
          </w:tcPr>
          <w:p w:rsidR="00E92A48" w:rsidRPr="00C66956" w:rsidRDefault="00E92A48" w:rsidP="00E92A48">
            <w:pPr>
              <w:rPr>
                <w:rFonts w:ascii="Garamond" w:hAnsi="Garamond" w:cs="Times New Roman"/>
              </w:rPr>
            </w:pPr>
            <w:r w:rsidRPr="00C66956">
              <w:rPr>
                <w:rFonts w:ascii="Garamond" w:hAnsi="Garamond" w:cs="Times New Roman"/>
              </w:rPr>
              <w:t>40%</w:t>
            </w:r>
          </w:p>
        </w:tc>
        <w:tc>
          <w:tcPr>
            <w:tcW w:w="1188" w:type="dxa"/>
          </w:tcPr>
          <w:p w:rsidR="00E92A48" w:rsidRPr="00C66956" w:rsidRDefault="00E92A48" w:rsidP="00E92A48">
            <w:pPr>
              <w:rPr>
                <w:rFonts w:ascii="Garamond" w:hAnsi="Garamond" w:cs="Times New Roman"/>
              </w:rPr>
            </w:pPr>
            <w:r w:rsidRPr="00C66956">
              <w:rPr>
                <w:rFonts w:ascii="Garamond" w:hAnsi="Garamond" w:cs="Times New Roman"/>
              </w:rPr>
              <w:t>50%</w:t>
            </w:r>
          </w:p>
        </w:tc>
        <w:tc>
          <w:tcPr>
            <w:tcW w:w="1080" w:type="dxa"/>
          </w:tcPr>
          <w:p w:rsidR="00E92A48" w:rsidRPr="00C66956" w:rsidRDefault="00E92A48" w:rsidP="00E92A48">
            <w:pPr>
              <w:rPr>
                <w:rFonts w:ascii="Garamond" w:hAnsi="Garamond" w:cs="Times New Roman"/>
              </w:rPr>
            </w:pPr>
          </w:p>
        </w:tc>
        <w:tc>
          <w:tcPr>
            <w:tcW w:w="2808" w:type="dxa"/>
          </w:tcPr>
          <w:p w:rsidR="00E92A48" w:rsidRPr="00C66956" w:rsidRDefault="00E92A48" w:rsidP="00E92A48">
            <w:pPr>
              <w:rPr>
                <w:rFonts w:ascii="Garamond" w:hAnsi="Garamond" w:cs="Times New Roman"/>
              </w:rPr>
            </w:pPr>
          </w:p>
        </w:tc>
      </w:tr>
      <w:tr w:rsidR="00E92A48" w:rsidRPr="00C66956" w:rsidTr="008A2F9F">
        <w:tc>
          <w:tcPr>
            <w:tcW w:w="2504" w:type="dxa"/>
          </w:tcPr>
          <w:p w:rsidR="00E92A48" w:rsidRPr="00C66956" w:rsidRDefault="00E92A48" w:rsidP="00E92A48">
            <w:pPr>
              <w:rPr>
                <w:rFonts w:ascii="Garamond" w:hAnsi="Garamond" w:cs="Times New Roman"/>
              </w:rPr>
            </w:pPr>
            <w:r w:rsidRPr="00C66956">
              <w:rPr>
                <w:rFonts w:ascii="Garamond" w:hAnsi="Garamond" w:cs="Times New Roman"/>
              </w:rPr>
              <w:t>Total Portfolio</w:t>
            </w:r>
          </w:p>
        </w:tc>
        <w:tc>
          <w:tcPr>
            <w:tcW w:w="1156" w:type="dxa"/>
          </w:tcPr>
          <w:p w:rsidR="00E92A48" w:rsidRPr="00C66956" w:rsidRDefault="00E92A48" w:rsidP="00E92A48">
            <w:pPr>
              <w:rPr>
                <w:rFonts w:ascii="Garamond" w:hAnsi="Garamond" w:cs="Times New Roman"/>
              </w:rPr>
            </w:pPr>
          </w:p>
        </w:tc>
        <w:tc>
          <w:tcPr>
            <w:tcW w:w="840" w:type="dxa"/>
          </w:tcPr>
          <w:p w:rsidR="00E92A48" w:rsidRPr="00C66956" w:rsidRDefault="00E92A48" w:rsidP="00E92A48">
            <w:pPr>
              <w:rPr>
                <w:rFonts w:ascii="Garamond" w:hAnsi="Garamond" w:cs="Times New Roman"/>
              </w:rPr>
            </w:pPr>
            <w:r w:rsidRPr="00C66956">
              <w:rPr>
                <w:rFonts w:ascii="Garamond" w:hAnsi="Garamond" w:cs="Times New Roman"/>
              </w:rPr>
              <w:t>100%</w:t>
            </w:r>
          </w:p>
        </w:tc>
        <w:tc>
          <w:tcPr>
            <w:tcW w:w="1188" w:type="dxa"/>
          </w:tcPr>
          <w:p w:rsidR="00E92A48" w:rsidRPr="00C66956" w:rsidRDefault="00E92A48" w:rsidP="00E92A48">
            <w:pPr>
              <w:rPr>
                <w:rFonts w:ascii="Garamond" w:hAnsi="Garamond" w:cs="Times New Roman"/>
              </w:rPr>
            </w:pPr>
          </w:p>
        </w:tc>
        <w:tc>
          <w:tcPr>
            <w:tcW w:w="1080" w:type="dxa"/>
          </w:tcPr>
          <w:p w:rsidR="00E92A48" w:rsidRPr="00C66956" w:rsidRDefault="00E92A48" w:rsidP="00E92A48">
            <w:pPr>
              <w:rPr>
                <w:rFonts w:ascii="Garamond" w:hAnsi="Garamond" w:cs="Times New Roman"/>
              </w:rPr>
            </w:pPr>
          </w:p>
        </w:tc>
        <w:tc>
          <w:tcPr>
            <w:tcW w:w="2808" w:type="dxa"/>
          </w:tcPr>
          <w:p w:rsidR="00E92A48" w:rsidRPr="00C66956" w:rsidRDefault="00E92A48" w:rsidP="00E92A48">
            <w:pPr>
              <w:rPr>
                <w:rFonts w:ascii="Garamond" w:hAnsi="Garamond" w:cs="Times New Roman"/>
              </w:rPr>
            </w:pPr>
          </w:p>
        </w:tc>
      </w:tr>
    </w:tbl>
    <w:p w:rsidR="003D5BE9" w:rsidRPr="00C66956" w:rsidRDefault="00C45910" w:rsidP="00E92A48">
      <w:pPr>
        <w:spacing w:after="0"/>
        <w:rPr>
          <w:rFonts w:ascii="Garamond" w:hAnsi="Garamond" w:cs="Times New Roman"/>
        </w:rPr>
      </w:pPr>
      <w:r>
        <w:rPr>
          <w:rFonts w:ascii="Garamond" w:hAnsi="Garamond" w:cs="Times New Roman"/>
        </w:rPr>
        <w:t>*</w:t>
      </w:r>
      <w:r w:rsidRPr="00BD0CFD">
        <w:rPr>
          <w:rFonts w:ascii="Garamond" w:hAnsi="Garamond" w:cs="Times New Roman"/>
        </w:rPr>
        <w:t xml:space="preserve"> The total </w:t>
      </w:r>
      <w:r>
        <w:rPr>
          <w:rFonts w:ascii="Garamond" w:hAnsi="Garamond" w:cs="Times New Roman"/>
        </w:rPr>
        <w:t xml:space="preserve">of </w:t>
      </w:r>
      <w:r w:rsidRPr="00BD0CFD">
        <w:rPr>
          <w:rFonts w:ascii="Garamond" w:hAnsi="Garamond" w:cs="Times New Roman"/>
        </w:rPr>
        <w:t>Ultra-Short-Term Bonds and Investment Grade Bonds may equate to a maximum of 30%.</w:t>
      </w:r>
    </w:p>
    <w:p w:rsidR="004229FE" w:rsidRPr="00C66956" w:rsidRDefault="00C66956" w:rsidP="00C66956">
      <w:pPr>
        <w:pStyle w:val="Heading2"/>
        <w:rPr>
          <w:rFonts w:ascii="Garamond" w:hAnsi="Garamond"/>
        </w:rPr>
      </w:pPr>
      <w:bookmarkStart w:id="15" w:name="_Toc7689733"/>
      <w:r w:rsidRPr="00C66956">
        <w:rPr>
          <w:rFonts w:ascii="Garamond" w:hAnsi="Garamond"/>
        </w:rPr>
        <w:t>Overall Asset Allocation</w:t>
      </w:r>
      <w:bookmarkEnd w:id="15"/>
    </w:p>
    <w:tbl>
      <w:tblPr>
        <w:tblStyle w:val="TableGrid"/>
        <w:tblW w:w="0" w:type="auto"/>
        <w:tblInd w:w="18" w:type="dxa"/>
        <w:tblLook w:val="04A0" w:firstRow="1" w:lastRow="0" w:firstColumn="1" w:lastColumn="0" w:noHBand="0" w:noVBand="1"/>
      </w:tblPr>
      <w:tblGrid>
        <w:gridCol w:w="2659"/>
        <w:gridCol w:w="2306"/>
        <w:gridCol w:w="2285"/>
        <w:gridCol w:w="2308"/>
      </w:tblGrid>
      <w:tr w:rsidR="000C61E7" w:rsidRPr="00C66956" w:rsidTr="00C45910">
        <w:tc>
          <w:tcPr>
            <w:tcW w:w="2659" w:type="dxa"/>
            <w:shd w:val="clear" w:color="auto" w:fill="8DB3E2" w:themeFill="text2" w:themeFillTint="66"/>
          </w:tcPr>
          <w:p w:rsidR="00BD54C8" w:rsidRPr="00C45910" w:rsidRDefault="00BD54C8" w:rsidP="004229FE">
            <w:pPr>
              <w:rPr>
                <w:rFonts w:ascii="Garamond" w:hAnsi="Garamond" w:cs="Times New Roman"/>
                <w:b/>
              </w:rPr>
            </w:pPr>
            <w:r w:rsidRPr="00C45910">
              <w:rPr>
                <w:rFonts w:ascii="Garamond" w:hAnsi="Garamond" w:cs="Times New Roman"/>
                <w:b/>
              </w:rPr>
              <w:t>Asset Class Totals</w:t>
            </w:r>
          </w:p>
        </w:tc>
        <w:tc>
          <w:tcPr>
            <w:tcW w:w="2306" w:type="dxa"/>
            <w:shd w:val="clear" w:color="auto" w:fill="8DB3E2" w:themeFill="text2" w:themeFillTint="66"/>
          </w:tcPr>
          <w:p w:rsidR="00BD54C8" w:rsidRPr="00C45910" w:rsidRDefault="00BD54C8" w:rsidP="004229FE">
            <w:pPr>
              <w:rPr>
                <w:rFonts w:ascii="Garamond" w:hAnsi="Garamond" w:cs="Times New Roman"/>
                <w:b/>
              </w:rPr>
            </w:pPr>
            <w:r w:rsidRPr="00C45910">
              <w:rPr>
                <w:rFonts w:ascii="Garamond" w:hAnsi="Garamond" w:cs="Times New Roman"/>
                <w:b/>
              </w:rPr>
              <w:t>Minimum</w:t>
            </w:r>
          </w:p>
        </w:tc>
        <w:tc>
          <w:tcPr>
            <w:tcW w:w="2285" w:type="dxa"/>
            <w:shd w:val="clear" w:color="auto" w:fill="8DB3E2" w:themeFill="text2" w:themeFillTint="66"/>
          </w:tcPr>
          <w:p w:rsidR="00BD54C8" w:rsidRPr="00C45910" w:rsidRDefault="00BD54C8" w:rsidP="004229FE">
            <w:pPr>
              <w:rPr>
                <w:rFonts w:ascii="Garamond" w:hAnsi="Garamond" w:cs="Times New Roman"/>
                <w:b/>
              </w:rPr>
            </w:pPr>
            <w:r w:rsidRPr="00C45910">
              <w:rPr>
                <w:rFonts w:ascii="Garamond" w:hAnsi="Garamond" w:cs="Times New Roman"/>
                <w:b/>
              </w:rPr>
              <w:t>Target</w:t>
            </w:r>
          </w:p>
        </w:tc>
        <w:tc>
          <w:tcPr>
            <w:tcW w:w="2308" w:type="dxa"/>
            <w:shd w:val="clear" w:color="auto" w:fill="8DB3E2" w:themeFill="text2" w:themeFillTint="66"/>
          </w:tcPr>
          <w:p w:rsidR="00BD54C8" w:rsidRPr="00C45910" w:rsidRDefault="00BD54C8" w:rsidP="004229FE">
            <w:pPr>
              <w:rPr>
                <w:rFonts w:ascii="Garamond" w:hAnsi="Garamond" w:cs="Times New Roman"/>
                <w:b/>
              </w:rPr>
            </w:pPr>
            <w:r w:rsidRPr="00C45910">
              <w:rPr>
                <w:rFonts w:ascii="Garamond" w:hAnsi="Garamond" w:cs="Times New Roman"/>
                <w:b/>
              </w:rPr>
              <w:t>Maximum</w:t>
            </w:r>
          </w:p>
        </w:tc>
      </w:tr>
      <w:tr w:rsidR="000C61E7" w:rsidRPr="00C66956" w:rsidTr="00153B2C">
        <w:tc>
          <w:tcPr>
            <w:tcW w:w="2659" w:type="dxa"/>
          </w:tcPr>
          <w:p w:rsidR="00BD54C8" w:rsidRPr="00C66956" w:rsidRDefault="00BD54C8" w:rsidP="004229FE">
            <w:pPr>
              <w:rPr>
                <w:rFonts w:ascii="Garamond" w:hAnsi="Garamond" w:cs="Times New Roman"/>
              </w:rPr>
            </w:pPr>
            <w:r w:rsidRPr="00C66956">
              <w:rPr>
                <w:rFonts w:ascii="Garamond" w:hAnsi="Garamond" w:cs="Times New Roman"/>
              </w:rPr>
              <w:t>Total Equity</w:t>
            </w:r>
          </w:p>
        </w:tc>
        <w:tc>
          <w:tcPr>
            <w:tcW w:w="2306" w:type="dxa"/>
          </w:tcPr>
          <w:p w:rsidR="00BD54C8" w:rsidRPr="00C66956" w:rsidRDefault="00BD54C8" w:rsidP="004229FE">
            <w:pPr>
              <w:rPr>
                <w:rFonts w:ascii="Garamond" w:hAnsi="Garamond" w:cs="Times New Roman"/>
              </w:rPr>
            </w:pPr>
            <w:r w:rsidRPr="00C66956">
              <w:rPr>
                <w:rFonts w:ascii="Garamond" w:hAnsi="Garamond" w:cs="Times New Roman"/>
              </w:rPr>
              <w:t>50%</w:t>
            </w:r>
          </w:p>
        </w:tc>
        <w:tc>
          <w:tcPr>
            <w:tcW w:w="2285" w:type="dxa"/>
          </w:tcPr>
          <w:p w:rsidR="00BD54C8" w:rsidRPr="00C66956" w:rsidRDefault="00C45910" w:rsidP="004229FE">
            <w:pPr>
              <w:rPr>
                <w:rFonts w:ascii="Garamond" w:hAnsi="Garamond" w:cs="Times New Roman"/>
              </w:rPr>
            </w:pPr>
            <w:r>
              <w:rPr>
                <w:rFonts w:ascii="Garamond" w:hAnsi="Garamond" w:cs="Times New Roman"/>
              </w:rPr>
              <w:t>60</w:t>
            </w:r>
            <w:r w:rsidR="00BD54C8" w:rsidRPr="00C66956">
              <w:rPr>
                <w:rFonts w:ascii="Garamond" w:hAnsi="Garamond" w:cs="Times New Roman"/>
              </w:rPr>
              <w:t>%</w:t>
            </w:r>
          </w:p>
        </w:tc>
        <w:tc>
          <w:tcPr>
            <w:tcW w:w="2308" w:type="dxa"/>
          </w:tcPr>
          <w:p w:rsidR="00BD54C8" w:rsidRPr="00C66956" w:rsidRDefault="00BD54C8" w:rsidP="004229FE">
            <w:pPr>
              <w:rPr>
                <w:rFonts w:ascii="Garamond" w:hAnsi="Garamond" w:cs="Times New Roman"/>
              </w:rPr>
            </w:pPr>
            <w:r w:rsidRPr="00C66956">
              <w:rPr>
                <w:rFonts w:ascii="Garamond" w:hAnsi="Garamond" w:cs="Times New Roman"/>
              </w:rPr>
              <w:t>70%</w:t>
            </w:r>
          </w:p>
        </w:tc>
      </w:tr>
      <w:tr w:rsidR="000C61E7" w:rsidRPr="00C66956" w:rsidTr="00153B2C">
        <w:tc>
          <w:tcPr>
            <w:tcW w:w="2659" w:type="dxa"/>
          </w:tcPr>
          <w:p w:rsidR="00BD54C8" w:rsidRPr="00C66956" w:rsidRDefault="000C61E7" w:rsidP="004229FE">
            <w:pPr>
              <w:rPr>
                <w:rFonts w:ascii="Garamond" w:hAnsi="Garamond" w:cs="Times New Roman"/>
              </w:rPr>
            </w:pPr>
            <w:r w:rsidRPr="00C66956">
              <w:rPr>
                <w:rFonts w:ascii="Garamond" w:hAnsi="Garamond" w:cs="Times New Roman"/>
              </w:rPr>
              <w:t>Total Fixed Income</w:t>
            </w:r>
          </w:p>
        </w:tc>
        <w:tc>
          <w:tcPr>
            <w:tcW w:w="2306" w:type="dxa"/>
          </w:tcPr>
          <w:p w:rsidR="00BD54C8" w:rsidRPr="00C66956" w:rsidRDefault="00C45910" w:rsidP="004229FE">
            <w:pPr>
              <w:rPr>
                <w:rFonts w:ascii="Garamond" w:hAnsi="Garamond" w:cs="Times New Roman"/>
              </w:rPr>
            </w:pPr>
            <w:r>
              <w:rPr>
                <w:rFonts w:ascii="Garamond" w:hAnsi="Garamond" w:cs="Times New Roman"/>
              </w:rPr>
              <w:t>30</w:t>
            </w:r>
            <w:r w:rsidR="000C61E7" w:rsidRPr="00C66956">
              <w:rPr>
                <w:rFonts w:ascii="Garamond" w:hAnsi="Garamond" w:cs="Times New Roman"/>
              </w:rPr>
              <w:t>%</w:t>
            </w:r>
          </w:p>
        </w:tc>
        <w:tc>
          <w:tcPr>
            <w:tcW w:w="2285" w:type="dxa"/>
          </w:tcPr>
          <w:p w:rsidR="00BD54C8" w:rsidRPr="00C66956" w:rsidRDefault="00C45910" w:rsidP="004229FE">
            <w:pPr>
              <w:rPr>
                <w:rFonts w:ascii="Garamond" w:hAnsi="Garamond" w:cs="Times New Roman"/>
              </w:rPr>
            </w:pPr>
            <w:r>
              <w:rPr>
                <w:rFonts w:ascii="Garamond" w:hAnsi="Garamond" w:cs="Times New Roman"/>
              </w:rPr>
              <w:t>40</w:t>
            </w:r>
            <w:r w:rsidR="000C61E7" w:rsidRPr="00C66956">
              <w:rPr>
                <w:rFonts w:ascii="Garamond" w:hAnsi="Garamond" w:cs="Times New Roman"/>
              </w:rPr>
              <w:t>%</w:t>
            </w:r>
          </w:p>
        </w:tc>
        <w:tc>
          <w:tcPr>
            <w:tcW w:w="2308" w:type="dxa"/>
          </w:tcPr>
          <w:p w:rsidR="00BD54C8" w:rsidRPr="00C66956" w:rsidRDefault="00C45910" w:rsidP="004229FE">
            <w:pPr>
              <w:rPr>
                <w:rFonts w:ascii="Garamond" w:hAnsi="Garamond" w:cs="Times New Roman"/>
              </w:rPr>
            </w:pPr>
            <w:r>
              <w:rPr>
                <w:rFonts w:ascii="Garamond" w:hAnsi="Garamond" w:cs="Times New Roman"/>
              </w:rPr>
              <w:t>50</w:t>
            </w:r>
            <w:r w:rsidR="000C61E7" w:rsidRPr="00C66956">
              <w:rPr>
                <w:rFonts w:ascii="Garamond" w:hAnsi="Garamond" w:cs="Times New Roman"/>
              </w:rPr>
              <w:t>%</w:t>
            </w:r>
          </w:p>
        </w:tc>
      </w:tr>
      <w:tr w:rsidR="000C61E7" w:rsidRPr="00C66956" w:rsidTr="00153B2C">
        <w:tc>
          <w:tcPr>
            <w:tcW w:w="2659" w:type="dxa"/>
          </w:tcPr>
          <w:p w:rsidR="00BD54C8" w:rsidRPr="00C66956" w:rsidRDefault="000C61E7" w:rsidP="004229FE">
            <w:pPr>
              <w:rPr>
                <w:rFonts w:ascii="Garamond" w:hAnsi="Garamond" w:cs="Times New Roman"/>
              </w:rPr>
            </w:pPr>
            <w:r w:rsidRPr="00C66956">
              <w:rPr>
                <w:rFonts w:ascii="Garamond" w:hAnsi="Garamond" w:cs="Times New Roman"/>
              </w:rPr>
              <w:t>Total Cash Equivalents</w:t>
            </w:r>
          </w:p>
        </w:tc>
        <w:tc>
          <w:tcPr>
            <w:tcW w:w="2306" w:type="dxa"/>
          </w:tcPr>
          <w:p w:rsidR="00BD54C8" w:rsidRPr="00C66956" w:rsidRDefault="000C61E7" w:rsidP="004229FE">
            <w:pPr>
              <w:rPr>
                <w:rFonts w:ascii="Garamond" w:hAnsi="Garamond" w:cs="Times New Roman"/>
              </w:rPr>
            </w:pPr>
            <w:r w:rsidRPr="00C66956">
              <w:rPr>
                <w:rFonts w:ascii="Garamond" w:hAnsi="Garamond" w:cs="Times New Roman"/>
              </w:rPr>
              <w:t>0.0%</w:t>
            </w:r>
          </w:p>
        </w:tc>
        <w:tc>
          <w:tcPr>
            <w:tcW w:w="2285" w:type="dxa"/>
          </w:tcPr>
          <w:p w:rsidR="00BD54C8" w:rsidRPr="00C66956" w:rsidRDefault="000C61E7" w:rsidP="004229FE">
            <w:pPr>
              <w:rPr>
                <w:rFonts w:ascii="Garamond" w:hAnsi="Garamond" w:cs="Times New Roman"/>
              </w:rPr>
            </w:pPr>
            <w:r w:rsidRPr="00C66956">
              <w:rPr>
                <w:rFonts w:ascii="Garamond" w:hAnsi="Garamond" w:cs="Times New Roman"/>
              </w:rPr>
              <w:t>0.0%</w:t>
            </w:r>
          </w:p>
        </w:tc>
        <w:tc>
          <w:tcPr>
            <w:tcW w:w="2308" w:type="dxa"/>
          </w:tcPr>
          <w:p w:rsidR="00BD54C8" w:rsidRPr="00C66956" w:rsidRDefault="00C45910" w:rsidP="004229FE">
            <w:pPr>
              <w:rPr>
                <w:rFonts w:ascii="Garamond" w:hAnsi="Garamond" w:cs="Times New Roman"/>
              </w:rPr>
            </w:pPr>
            <w:r>
              <w:rPr>
                <w:rFonts w:ascii="Garamond" w:hAnsi="Garamond" w:cs="Times New Roman"/>
              </w:rPr>
              <w:t>10</w:t>
            </w:r>
            <w:r w:rsidR="000C61E7" w:rsidRPr="00C66956">
              <w:rPr>
                <w:rFonts w:ascii="Garamond" w:hAnsi="Garamond" w:cs="Times New Roman"/>
              </w:rPr>
              <w:t>%</w:t>
            </w:r>
          </w:p>
        </w:tc>
      </w:tr>
      <w:tr w:rsidR="000C61E7" w:rsidRPr="00C66956" w:rsidTr="00153B2C">
        <w:tc>
          <w:tcPr>
            <w:tcW w:w="2659" w:type="dxa"/>
          </w:tcPr>
          <w:p w:rsidR="00BD54C8" w:rsidRPr="00C66956" w:rsidRDefault="000C61E7" w:rsidP="004229FE">
            <w:pPr>
              <w:rPr>
                <w:rFonts w:ascii="Garamond" w:hAnsi="Garamond" w:cs="Times New Roman"/>
              </w:rPr>
            </w:pPr>
            <w:r w:rsidRPr="00C66956">
              <w:rPr>
                <w:rFonts w:ascii="Garamond" w:hAnsi="Garamond" w:cs="Times New Roman"/>
              </w:rPr>
              <w:t>Total Alternative</w:t>
            </w:r>
          </w:p>
        </w:tc>
        <w:tc>
          <w:tcPr>
            <w:tcW w:w="2306" w:type="dxa"/>
          </w:tcPr>
          <w:p w:rsidR="00BD54C8" w:rsidRPr="00C66956" w:rsidRDefault="000C61E7" w:rsidP="004229FE">
            <w:pPr>
              <w:rPr>
                <w:rFonts w:ascii="Garamond" w:hAnsi="Garamond" w:cs="Times New Roman"/>
              </w:rPr>
            </w:pPr>
            <w:r w:rsidRPr="00C66956">
              <w:rPr>
                <w:rFonts w:ascii="Garamond" w:hAnsi="Garamond" w:cs="Times New Roman"/>
              </w:rPr>
              <w:t>0.0%</w:t>
            </w:r>
          </w:p>
        </w:tc>
        <w:tc>
          <w:tcPr>
            <w:tcW w:w="2285" w:type="dxa"/>
          </w:tcPr>
          <w:p w:rsidR="00BD54C8" w:rsidRPr="00C66956" w:rsidRDefault="000C61E7" w:rsidP="004229FE">
            <w:pPr>
              <w:rPr>
                <w:rFonts w:ascii="Garamond" w:hAnsi="Garamond" w:cs="Times New Roman"/>
              </w:rPr>
            </w:pPr>
            <w:r w:rsidRPr="00C66956">
              <w:rPr>
                <w:rFonts w:ascii="Garamond" w:hAnsi="Garamond" w:cs="Times New Roman"/>
              </w:rPr>
              <w:t>0.0%</w:t>
            </w:r>
          </w:p>
        </w:tc>
        <w:tc>
          <w:tcPr>
            <w:tcW w:w="2308" w:type="dxa"/>
          </w:tcPr>
          <w:p w:rsidR="00BD54C8" w:rsidRPr="00C66956" w:rsidRDefault="00C45910" w:rsidP="004229FE">
            <w:pPr>
              <w:rPr>
                <w:rFonts w:ascii="Garamond" w:hAnsi="Garamond" w:cs="Times New Roman"/>
              </w:rPr>
            </w:pPr>
            <w:r>
              <w:rPr>
                <w:rFonts w:ascii="Garamond" w:hAnsi="Garamond" w:cs="Times New Roman"/>
              </w:rPr>
              <w:t>10</w:t>
            </w:r>
            <w:r w:rsidR="000C61E7" w:rsidRPr="00C66956">
              <w:rPr>
                <w:rFonts w:ascii="Garamond" w:hAnsi="Garamond" w:cs="Times New Roman"/>
              </w:rPr>
              <w:t>%</w:t>
            </w:r>
          </w:p>
        </w:tc>
      </w:tr>
    </w:tbl>
    <w:p w:rsidR="000C61E7" w:rsidRPr="00C66956" w:rsidRDefault="000C61E7" w:rsidP="004229FE">
      <w:pPr>
        <w:spacing w:after="0"/>
        <w:ind w:left="360"/>
        <w:rPr>
          <w:rFonts w:ascii="Garamond" w:hAnsi="Garamond" w:cs="Times New Roman"/>
        </w:rPr>
      </w:pPr>
    </w:p>
    <w:p w:rsidR="000C61E7" w:rsidRPr="00C66956" w:rsidRDefault="000C61E7" w:rsidP="006F78A9">
      <w:pPr>
        <w:pStyle w:val="Heading2"/>
        <w:rPr>
          <w:rFonts w:ascii="Garamond" w:hAnsi="Garamond"/>
        </w:rPr>
      </w:pPr>
      <w:bookmarkStart w:id="16" w:name="_Toc7689734"/>
      <w:r w:rsidRPr="00C66956">
        <w:rPr>
          <w:rFonts w:ascii="Garamond" w:hAnsi="Garamond"/>
        </w:rPr>
        <w:t>Rebalancing Procedures</w:t>
      </w:r>
      <w:bookmarkEnd w:id="16"/>
    </w:p>
    <w:p w:rsidR="000C61E7" w:rsidRPr="00C66956" w:rsidRDefault="000C61E7" w:rsidP="00EE2058">
      <w:pPr>
        <w:spacing w:after="0"/>
        <w:rPr>
          <w:rFonts w:ascii="Garamond" w:hAnsi="Garamond" w:cs="Times New Roman"/>
        </w:rPr>
      </w:pPr>
      <w:r w:rsidRPr="00C66956">
        <w:rPr>
          <w:rFonts w:ascii="Garamond" w:hAnsi="Garamond" w:cs="Times New Roman"/>
        </w:rPr>
        <w:t>The allocations to each asset class and to investment styles within asset classes are expected to remain stable over most market cycles.</w:t>
      </w:r>
    </w:p>
    <w:p w:rsidR="000C61E7" w:rsidRPr="00C66956" w:rsidRDefault="000C61E7" w:rsidP="004229FE">
      <w:pPr>
        <w:spacing w:after="0"/>
        <w:ind w:left="360"/>
        <w:rPr>
          <w:rFonts w:ascii="Garamond" w:hAnsi="Garamond" w:cs="Times New Roman"/>
        </w:rPr>
      </w:pPr>
    </w:p>
    <w:p w:rsidR="000C61E7" w:rsidRPr="00C66956" w:rsidRDefault="000C61E7" w:rsidP="00EE2058">
      <w:pPr>
        <w:spacing w:after="0"/>
        <w:rPr>
          <w:rFonts w:ascii="Garamond" w:hAnsi="Garamond" w:cs="Times New Roman"/>
        </w:rPr>
      </w:pPr>
      <w:r w:rsidRPr="00C66956">
        <w:rPr>
          <w:rFonts w:ascii="Garamond" w:hAnsi="Garamond" w:cs="Times New Roman"/>
        </w:rPr>
        <w:t xml:space="preserve">Since capital appreciation (depreciation) and trading activity in each individually managed portfolio can result in a deviation from the overall </w:t>
      </w:r>
      <w:r w:rsidR="003373D6" w:rsidRPr="00C66956">
        <w:rPr>
          <w:rFonts w:ascii="Garamond" w:hAnsi="Garamond" w:cs="Times New Roman"/>
        </w:rPr>
        <w:t>Plans’</w:t>
      </w:r>
      <w:r w:rsidRPr="00C66956">
        <w:rPr>
          <w:rFonts w:ascii="Garamond" w:hAnsi="Garamond" w:cs="Times New Roman"/>
        </w:rPr>
        <w:t xml:space="preserve"> asset allocation, the aggregate asset allocation</w:t>
      </w:r>
      <w:r w:rsidR="00E92A48">
        <w:rPr>
          <w:rFonts w:ascii="Garamond" w:hAnsi="Garamond" w:cs="Times New Roman"/>
        </w:rPr>
        <w:t xml:space="preserve"> should be monitored; and the i</w:t>
      </w:r>
      <w:r w:rsidRPr="00C66956">
        <w:rPr>
          <w:rFonts w:ascii="Garamond" w:hAnsi="Garamond" w:cs="Times New Roman"/>
        </w:rPr>
        <w:t xml:space="preserve">nvestment </w:t>
      </w:r>
      <w:r w:rsidR="00E92A48">
        <w:rPr>
          <w:rFonts w:ascii="Garamond" w:hAnsi="Garamond" w:cs="Times New Roman"/>
        </w:rPr>
        <w:t>a</w:t>
      </w:r>
      <w:r w:rsidR="00884DB1">
        <w:rPr>
          <w:rFonts w:ascii="Garamond" w:hAnsi="Garamond" w:cs="Times New Roman"/>
        </w:rPr>
        <w:t>dvisor</w:t>
      </w:r>
      <w:r w:rsidRPr="00C66956">
        <w:rPr>
          <w:rFonts w:ascii="Garamond" w:hAnsi="Garamond" w:cs="Times New Roman"/>
        </w:rPr>
        <w:t xml:space="preserve"> should regularly rebalance the </w:t>
      </w:r>
      <w:r w:rsidR="003373D6" w:rsidRPr="00C66956">
        <w:rPr>
          <w:rFonts w:ascii="Garamond" w:hAnsi="Garamond" w:cs="Times New Roman"/>
        </w:rPr>
        <w:t>Plans’</w:t>
      </w:r>
      <w:r w:rsidRPr="00C66956">
        <w:rPr>
          <w:rFonts w:ascii="Garamond" w:hAnsi="Garamond" w:cs="Times New Roman"/>
        </w:rPr>
        <w:t xml:space="preserve"> assets to the target allocation or t</w:t>
      </w:r>
      <w:r w:rsidR="00E92A48">
        <w:rPr>
          <w:rFonts w:ascii="Garamond" w:hAnsi="Garamond" w:cs="Times New Roman"/>
        </w:rPr>
        <w:t>o a tactical reposition of the P</w:t>
      </w:r>
      <w:r w:rsidRPr="00C66956">
        <w:rPr>
          <w:rFonts w:ascii="Garamond" w:hAnsi="Garamond" w:cs="Times New Roman"/>
        </w:rPr>
        <w:t>lans’ assets within the asset allocation band on a periodic basis.</w:t>
      </w:r>
    </w:p>
    <w:p w:rsidR="00217FA2" w:rsidRPr="00C66956" w:rsidRDefault="00217FA2" w:rsidP="004229FE">
      <w:pPr>
        <w:spacing w:after="0"/>
        <w:ind w:left="360"/>
        <w:rPr>
          <w:rFonts w:ascii="Garamond" w:hAnsi="Garamond" w:cs="Times New Roman"/>
        </w:rPr>
      </w:pPr>
    </w:p>
    <w:p w:rsidR="00217FA2" w:rsidRPr="00C66956" w:rsidRDefault="00217FA2" w:rsidP="006F78A9">
      <w:pPr>
        <w:pStyle w:val="Heading1"/>
        <w:numPr>
          <w:ilvl w:val="0"/>
          <w:numId w:val="16"/>
        </w:numPr>
        <w:rPr>
          <w:rFonts w:ascii="Garamond" w:hAnsi="Garamond"/>
        </w:rPr>
      </w:pPr>
      <w:bookmarkStart w:id="17" w:name="_Toc7689735"/>
      <w:r w:rsidRPr="00C66956">
        <w:rPr>
          <w:rFonts w:ascii="Garamond" w:hAnsi="Garamond"/>
        </w:rPr>
        <w:lastRenderedPageBreak/>
        <w:t>Responsibilities of the Investment Managers</w:t>
      </w:r>
      <w:bookmarkEnd w:id="17"/>
    </w:p>
    <w:p w:rsidR="00217FA2" w:rsidRPr="00C66956" w:rsidRDefault="00217FA2" w:rsidP="00217FA2">
      <w:pPr>
        <w:spacing w:after="0"/>
        <w:rPr>
          <w:rFonts w:ascii="Garamond" w:hAnsi="Garamond" w:cs="Times New Roman"/>
        </w:rPr>
      </w:pPr>
    </w:p>
    <w:p w:rsidR="00217FA2" w:rsidRPr="00C66956" w:rsidRDefault="003373D6" w:rsidP="00217FA2">
      <w:pPr>
        <w:spacing w:after="0"/>
        <w:rPr>
          <w:rFonts w:ascii="Garamond" w:hAnsi="Garamond" w:cs="Times New Roman"/>
        </w:rPr>
      </w:pPr>
      <w:r w:rsidRPr="00C66956">
        <w:rPr>
          <w:rFonts w:ascii="Garamond" w:hAnsi="Garamond" w:cs="Times New Roman"/>
        </w:rPr>
        <w:t>It is the PBB’s</w:t>
      </w:r>
      <w:r w:rsidR="00217FA2" w:rsidRPr="00C66956">
        <w:rPr>
          <w:rFonts w:ascii="Garamond" w:hAnsi="Garamond" w:cs="Times New Roman"/>
        </w:rPr>
        <w:t xml:space="preserve"> responsibility to select prudent investment managers to manage the assets. Such managers can include regulated banks or insurance companies; mutual funds registered under the Investment Company Act of 1940, or registered investment </w:t>
      </w:r>
      <w:r w:rsidR="00884DB1">
        <w:rPr>
          <w:rFonts w:ascii="Garamond" w:hAnsi="Garamond" w:cs="Times New Roman"/>
        </w:rPr>
        <w:t>advisor</w:t>
      </w:r>
      <w:r w:rsidR="00217FA2" w:rsidRPr="00C66956">
        <w:rPr>
          <w:rFonts w:ascii="Garamond" w:hAnsi="Garamond" w:cs="Times New Roman"/>
        </w:rPr>
        <w:t>s. With respect to any mutual or other commingled funds that have been purchased by the Plan</w:t>
      </w:r>
      <w:r w:rsidR="00E92A48">
        <w:rPr>
          <w:rFonts w:ascii="Garamond" w:hAnsi="Garamond" w:cs="Times New Roman"/>
        </w:rPr>
        <w:t>s</w:t>
      </w:r>
      <w:r w:rsidR="00217FA2" w:rsidRPr="00C66956">
        <w:rPr>
          <w:rFonts w:ascii="Garamond" w:hAnsi="Garamond" w:cs="Times New Roman"/>
        </w:rPr>
        <w:t>, the prospectus or Declaration of Trust documents of the fund(s) will govern the investment policies of those assets.</w:t>
      </w:r>
    </w:p>
    <w:p w:rsidR="00217FA2" w:rsidRPr="00C66956" w:rsidRDefault="00217FA2" w:rsidP="006F78A9">
      <w:pPr>
        <w:pStyle w:val="Heading2"/>
        <w:rPr>
          <w:rFonts w:ascii="Garamond" w:hAnsi="Garamond"/>
        </w:rPr>
      </w:pPr>
      <w:bookmarkStart w:id="18" w:name="_Toc7689736"/>
      <w:r w:rsidRPr="00C66956">
        <w:rPr>
          <w:rFonts w:ascii="Garamond" w:hAnsi="Garamond"/>
        </w:rPr>
        <w:t>Fiduciary Responsibilities</w:t>
      </w:r>
      <w:bookmarkEnd w:id="18"/>
    </w:p>
    <w:p w:rsidR="00217FA2" w:rsidRPr="00C66956" w:rsidRDefault="00216C6E" w:rsidP="00217FA2">
      <w:pPr>
        <w:spacing w:after="0"/>
        <w:rPr>
          <w:rFonts w:ascii="Garamond" w:hAnsi="Garamond" w:cs="Times New Roman"/>
        </w:rPr>
      </w:pPr>
      <w:r>
        <w:rPr>
          <w:rFonts w:ascii="Garamond" w:hAnsi="Garamond" w:cs="Times New Roman"/>
        </w:rPr>
        <w:t>When advantageous, e</w:t>
      </w:r>
      <w:r w:rsidR="00217FA2" w:rsidRPr="00C66956">
        <w:rPr>
          <w:rFonts w:ascii="Garamond" w:hAnsi="Garamond" w:cs="Times New Roman"/>
        </w:rPr>
        <w:t xml:space="preserve">ach investment manager must be a fiduciary and is expected to prudently manage the </w:t>
      </w:r>
      <w:r w:rsidR="003373D6" w:rsidRPr="00C66956">
        <w:rPr>
          <w:rFonts w:ascii="Garamond" w:hAnsi="Garamond" w:cs="Times New Roman"/>
        </w:rPr>
        <w:t>Plans’</w:t>
      </w:r>
      <w:r w:rsidR="00217FA2" w:rsidRPr="00C66956">
        <w:rPr>
          <w:rFonts w:ascii="Garamond" w:hAnsi="Garamond" w:cs="Times New Roman"/>
        </w:rPr>
        <w:t xml:space="preserve"> assets in a manner consistent with the investment objectives, guidelines, and constraints outlined in this </w:t>
      </w:r>
      <w:r w:rsidR="003373D6" w:rsidRPr="00C66956">
        <w:rPr>
          <w:rFonts w:ascii="Garamond" w:hAnsi="Garamond" w:cs="Times New Roman"/>
        </w:rPr>
        <w:t>IPS</w:t>
      </w:r>
      <w:r w:rsidR="00217FA2" w:rsidRPr="00C66956">
        <w:rPr>
          <w:rFonts w:ascii="Garamond" w:hAnsi="Garamond" w:cs="Times New Roman"/>
        </w:rPr>
        <w:t xml:space="preserve"> and in accordance with applicable laws.</w:t>
      </w:r>
      <w:r>
        <w:rPr>
          <w:rFonts w:ascii="Garamond" w:hAnsi="Garamond" w:cs="Times New Roman"/>
        </w:rPr>
        <w:t xml:space="preserve">  T</w:t>
      </w:r>
      <w:r w:rsidR="00E92A48">
        <w:rPr>
          <w:rFonts w:ascii="Garamond" w:hAnsi="Garamond" w:cs="Times New Roman"/>
        </w:rPr>
        <w:t>he Town’s investment a</w:t>
      </w:r>
      <w:r>
        <w:rPr>
          <w:rFonts w:ascii="Garamond" w:hAnsi="Garamond" w:cs="Times New Roman"/>
        </w:rPr>
        <w:t>dvisor must be a fiduciary.</w:t>
      </w:r>
    </w:p>
    <w:p w:rsidR="00217FA2" w:rsidRPr="00C66956" w:rsidRDefault="00217FA2" w:rsidP="00217FA2">
      <w:pPr>
        <w:spacing w:after="0"/>
        <w:rPr>
          <w:rFonts w:ascii="Garamond" w:hAnsi="Garamond" w:cs="Times New Roman"/>
        </w:rPr>
      </w:pPr>
    </w:p>
    <w:p w:rsidR="00217FA2" w:rsidRPr="00C66956" w:rsidRDefault="00217FA2" w:rsidP="00217FA2">
      <w:pPr>
        <w:spacing w:after="0"/>
        <w:rPr>
          <w:rFonts w:ascii="Garamond" w:hAnsi="Garamond" w:cs="Times New Roman"/>
        </w:rPr>
      </w:pPr>
      <w:r w:rsidRPr="00C66956">
        <w:rPr>
          <w:rFonts w:ascii="Garamond" w:hAnsi="Garamond" w:cs="Times New Roman"/>
        </w:rPr>
        <w:t>Each investment manager shall:</w:t>
      </w:r>
    </w:p>
    <w:p w:rsidR="00217FA2" w:rsidRPr="00C66956" w:rsidRDefault="00217FA2" w:rsidP="00217FA2">
      <w:pPr>
        <w:pStyle w:val="ListParagraph"/>
        <w:numPr>
          <w:ilvl w:val="0"/>
          <w:numId w:val="8"/>
        </w:numPr>
        <w:spacing w:after="0"/>
        <w:rPr>
          <w:rFonts w:ascii="Garamond" w:hAnsi="Garamond" w:cs="Times New Roman"/>
        </w:rPr>
      </w:pPr>
      <w:r w:rsidRPr="00C66956">
        <w:rPr>
          <w:rFonts w:ascii="Garamond" w:hAnsi="Garamond" w:cs="Times New Roman"/>
        </w:rPr>
        <w:t xml:space="preserve">Be a bank, insurance company or be registered as an investment </w:t>
      </w:r>
      <w:r w:rsidR="00884DB1">
        <w:rPr>
          <w:rFonts w:ascii="Garamond" w:hAnsi="Garamond" w:cs="Times New Roman"/>
        </w:rPr>
        <w:t>advisor</w:t>
      </w:r>
      <w:r w:rsidRPr="00C66956">
        <w:rPr>
          <w:rFonts w:ascii="Garamond" w:hAnsi="Garamond" w:cs="Times New Roman"/>
        </w:rPr>
        <w:t xml:space="preserve"> under the Investment Advisers Act of 1940 (where applicable);</w:t>
      </w:r>
      <w:r w:rsidR="00E92A48">
        <w:rPr>
          <w:rFonts w:ascii="Garamond" w:hAnsi="Garamond" w:cs="Times New Roman"/>
        </w:rPr>
        <w:t xml:space="preserve"> and</w:t>
      </w:r>
    </w:p>
    <w:p w:rsidR="00217FA2" w:rsidRPr="00C66956" w:rsidRDefault="00217FA2" w:rsidP="00217FA2">
      <w:pPr>
        <w:pStyle w:val="ListParagraph"/>
        <w:numPr>
          <w:ilvl w:val="0"/>
          <w:numId w:val="8"/>
        </w:numPr>
        <w:spacing w:after="0"/>
        <w:rPr>
          <w:rFonts w:ascii="Garamond" w:hAnsi="Garamond" w:cs="Times New Roman"/>
        </w:rPr>
      </w:pPr>
      <w:r w:rsidRPr="00C66956">
        <w:rPr>
          <w:rFonts w:ascii="Garamond" w:hAnsi="Garamond" w:cs="Times New Roman"/>
        </w:rPr>
        <w:t>Maintain adequate fiduciary liability insurance and bonding for the</w:t>
      </w:r>
      <w:r w:rsidR="00E92A48">
        <w:rPr>
          <w:rFonts w:ascii="Garamond" w:hAnsi="Garamond" w:cs="Times New Roman"/>
        </w:rPr>
        <w:t xml:space="preserve"> management of this account.</w:t>
      </w:r>
    </w:p>
    <w:p w:rsidR="00217FA2" w:rsidRPr="00C66956" w:rsidRDefault="00217FA2" w:rsidP="00217FA2">
      <w:pPr>
        <w:spacing w:after="0"/>
        <w:rPr>
          <w:rFonts w:ascii="Garamond" w:hAnsi="Garamond" w:cs="Times New Roman"/>
        </w:rPr>
      </w:pPr>
    </w:p>
    <w:p w:rsidR="00217FA2" w:rsidRPr="00C66956" w:rsidRDefault="00217FA2" w:rsidP="006F78A9">
      <w:pPr>
        <w:pStyle w:val="Heading2"/>
        <w:rPr>
          <w:rFonts w:ascii="Garamond" w:hAnsi="Garamond"/>
        </w:rPr>
      </w:pPr>
      <w:bookmarkStart w:id="19" w:name="_Toc7689737"/>
      <w:r w:rsidRPr="00C66956">
        <w:rPr>
          <w:rFonts w:ascii="Garamond" w:hAnsi="Garamond"/>
        </w:rPr>
        <w:t>Proxy Voting</w:t>
      </w:r>
      <w:bookmarkEnd w:id="19"/>
    </w:p>
    <w:p w:rsidR="00217FA2" w:rsidRPr="00C66956" w:rsidRDefault="00217FA2" w:rsidP="00217FA2">
      <w:pPr>
        <w:spacing w:after="0"/>
        <w:rPr>
          <w:rFonts w:ascii="Garamond" w:hAnsi="Garamond" w:cs="Times New Roman"/>
        </w:rPr>
      </w:pPr>
      <w:r w:rsidRPr="00C66956">
        <w:rPr>
          <w:rFonts w:ascii="Garamond" w:hAnsi="Garamond" w:cs="Times New Roman"/>
        </w:rPr>
        <w:t>Absent delegation to another service provider, each investment manager is responsible and empowered to exercise all rights, including voting rights, as are acquired through the purchase of securities, where practical. The investment manager(s) shall vote proxies according to their established Proxy Voting Guidelines. A copy of those guidelines, and/or summary of proxy vote</w:t>
      </w:r>
      <w:r w:rsidR="003373D6" w:rsidRPr="00C66956">
        <w:rPr>
          <w:rFonts w:ascii="Garamond" w:hAnsi="Garamond" w:cs="Times New Roman"/>
        </w:rPr>
        <w:t>s shall be provided to the PBB</w:t>
      </w:r>
      <w:r w:rsidRPr="00C66956">
        <w:rPr>
          <w:rFonts w:ascii="Garamond" w:hAnsi="Garamond" w:cs="Times New Roman"/>
        </w:rPr>
        <w:t xml:space="preserve"> upon request.</w:t>
      </w:r>
    </w:p>
    <w:p w:rsidR="008E69BF" w:rsidRPr="00C66956" w:rsidRDefault="008E69BF" w:rsidP="00217FA2">
      <w:pPr>
        <w:spacing w:after="0"/>
        <w:rPr>
          <w:rFonts w:ascii="Garamond" w:hAnsi="Garamond" w:cs="Times New Roman"/>
        </w:rPr>
      </w:pPr>
    </w:p>
    <w:p w:rsidR="008E69BF" w:rsidRPr="00C66956" w:rsidRDefault="008E69BF" w:rsidP="00400E39">
      <w:pPr>
        <w:pStyle w:val="Heading1"/>
        <w:numPr>
          <w:ilvl w:val="0"/>
          <w:numId w:val="16"/>
        </w:numPr>
        <w:spacing w:line="240" w:lineRule="auto"/>
        <w:rPr>
          <w:rFonts w:ascii="Garamond" w:hAnsi="Garamond"/>
        </w:rPr>
      </w:pPr>
      <w:bookmarkStart w:id="20" w:name="_Toc7689738"/>
      <w:r w:rsidRPr="00C66956">
        <w:rPr>
          <w:rFonts w:ascii="Garamond" w:hAnsi="Garamond"/>
        </w:rPr>
        <w:t>Investment Strategy</w:t>
      </w:r>
      <w:bookmarkEnd w:id="20"/>
    </w:p>
    <w:p w:rsidR="008E69BF" w:rsidRPr="00C66956" w:rsidRDefault="008E69BF" w:rsidP="00400E39">
      <w:pPr>
        <w:spacing w:after="0" w:line="240" w:lineRule="auto"/>
        <w:rPr>
          <w:rFonts w:ascii="Garamond" w:hAnsi="Garamond" w:cs="Times New Roman"/>
        </w:rPr>
      </w:pPr>
    </w:p>
    <w:p w:rsidR="008E69BF" w:rsidRPr="00C66956" w:rsidRDefault="008E69BF" w:rsidP="00400E39">
      <w:pPr>
        <w:pStyle w:val="Heading2"/>
        <w:spacing w:line="240" w:lineRule="auto"/>
        <w:rPr>
          <w:rFonts w:ascii="Garamond" w:hAnsi="Garamond"/>
        </w:rPr>
      </w:pPr>
      <w:bookmarkStart w:id="21" w:name="_Toc7689739"/>
      <w:r w:rsidRPr="00C66956">
        <w:rPr>
          <w:rFonts w:ascii="Garamond" w:hAnsi="Garamond"/>
        </w:rPr>
        <w:t>Selection Criteria for Investment Managers</w:t>
      </w:r>
      <w:bookmarkEnd w:id="21"/>
    </w:p>
    <w:p w:rsidR="008E69BF" w:rsidRPr="00C66956" w:rsidRDefault="00E92A48" w:rsidP="008E69BF">
      <w:pPr>
        <w:spacing w:after="0"/>
        <w:rPr>
          <w:rFonts w:ascii="Garamond" w:hAnsi="Garamond" w:cs="Times New Roman"/>
        </w:rPr>
      </w:pPr>
      <w:r>
        <w:rPr>
          <w:rFonts w:ascii="Garamond" w:hAnsi="Garamond" w:cs="Times New Roman"/>
        </w:rPr>
        <w:t>The investment advisor will recommend new investment m</w:t>
      </w:r>
      <w:r w:rsidR="008E69BF" w:rsidRPr="00C66956">
        <w:rPr>
          <w:rFonts w:ascii="Garamond" w:hAnsi="Garamond" w:cs="Times New Roman"/>
        </w:rPr>
        <w:t>anagers for the PBB to consider and vote upon for their inclusion to be used in the management of plan assets. Once an investment manager</w:t>
      </w:r>
      <w:r>
        <w:rPr>
          <w:rFonts w:ascii="Garamond" w:hAnsi="Garamond" w:cs="Times New Roman"/>
        </w:rPr>
        <w:t xml:space="preserve"> is chosen, the i</w:t>
      </w:r>
      <w:r w:rsidR="00153B2C" w:rsidRPr="00C66956">
        <w:rPr>
          <w:rFonts w:ascii="Garamond" w:hAnsi="Garamond" w:cs="Times New Roman"/>
        </w:rPr>
        <w:t>nv</w:t>
      </w:r>
      <w:r>
        <w:rPr>
          <w:rFonts w:ascii="Garamond" w:hAnsi="Garamond" w:cs="Times New Roman"/>
        </w:rPr>
        <w:t>estment a</w:t>
      </w:r>
      <w:r w:rsidR="00153B2C" w:rsidRPr="00C66956">
        <w:rPr>
          <w:rFonts w:ascii="Garamond" w:hAnsi="Garamond" w:cs="Times New Roman"/>
        </w:rPr>
        <w:t>dvisor</w:t>
      </w:r>
      <w:r w:rsidR="008E69BF" w:rsidRPr="00C66956">
        <w:rPr>
          <w:rFonts w:ascii="Garamond" w:hAnsi="Garamond" w:cs="Times New Roman"/>
        </w:rPr>
        <w:t xml:space="preserve"> may invest funds with that manager, increase or decrease total assets, or recommend termination. Investment managers retained by the PBB should be chosen using the following criteria:</w:t>
      </w:r>
    </w:p>
    <w:p w:rsidR="008E69BF" w:rsidRPr="00C66956" w:rsidRDefault="008E69BF" w:rsidP="008E69BF">
      <w:pPr>
        <w:pStyle w:val="ListParagraph"/>
        <w:numPr>
          <w:ilvl w:val="0"/>
          <w:numId w:val="9"/>
        </w:numPr>
        <w:spacing w:after="0"/>
        <w:rPr>
          <w:rFonts w:ascii="Garamond" w:hAnsi="Garamond" w:cs="Times New Roman"/>
        </w:rPr>
      </w:pPr>
      <w:r w:rsidRPr="00C66956">
        <w:rPr>
          <w:rFonts w:ascii="Garamond" w:hAnsi="Garamond" w:cs="Times New Roman"/>
        </w:rPr>
        <w:t>The investment style and discipline of the investment manager;</w:t>
      </w:r>
    </w:p>
    <w:p w:rsidR="008E69BF" w:rsidRPr="00C66956" w:rsidRDefault="008E69BF" w:rsidP="008E69BF">
      <w:pPr>
        <w:pStyle w:val="ListParagraph"/>
        <w:numPr>
          <w:ilvl w:val="0"/>
          <w:numId w:val="9"/>
        </w:numPr>
        <w:spacing w:after="0"/>
        <w:rPr>
          <w:rFonts w:ascii="Garamond" w:hAnsi="Garamond" w:cs="Times New Roman"/>
        </w:rPr>
      </w:pPr>
      <w:r w:rsidRPr="00C66956">
        <w:rPr>
          <w:rFonts w:ascii="Garamond" w:hAnsi="Garamond" w:cs="Times New Roman"/>
        </w:rPr>
        <w:t>How well the investment manager’s investment style or approach complements other investment managers in the portfolio;</w:t>
      </w:r>
    </w:p>
    <w:p w:rsidR="008E69BF" w:rsidRPr="00C66956" w:rsidRDefault="008E69BF" w:rsidP="008E69BF">
      <w:pPr>
        <w:pStyle w:val="ListParagraph"/>
        <w:numPr>
          <w:ilvl w:val="0"/>
          <w:numId w:val="9"/>
        </w:numPr>
        <w:spacing w:after="0"/>
        <w:rPr>
          <w:rFonts w:ascii="Garamond" w:hAnsi="Garamond" w:cs="Times New Roman"/>
        </w:rPr>
      </w:pPr>
      <w:r w:rsidRPr="00C66956">
        <w:rPr>
          <w:rFonts w:ascii="Garamond" w:hAnsi="Garamond" w:cs="Times New Roman"/>
        </w:rPr>
        <w:t>Level of experience, financial resources, and staffing levels of the investment manager;</w:t>
      </w:r>
    </w:p>
    <w:p w:rsidR="008E69BF" w:rsidRPr="00C66956" w:rsidRDefault="008E69BF" w:rsidP="008E69BF">
      <w:pPr>
        <w:pStyle w:val="ListParagraph"/>
        <w:numPr>
          <w:ilvl w:val="0"/>
          <w:numId w:val="9"/>
        </w:numPr>
        <w:spacing w:after="0"/>
        <w:rPr>
          <w:rFonts w:ascii="Garamond" w:hAnsi="Garamond" w:cs="Times New Roman"/>
        </w:rPr>
      </w:pPr>
      <w:r w:rsidRPr="00C66956">
        <w:rPr>
          <w:rFonts w:ascii="Garamond" w:hAnsi="Garamond" w:cs="Times New Roman"/>
        </w:rPr>
        <w:t>How consistent an investment manager is to the style for which they were hired;</w:t>
      </w:r>
    </w:p>
    <w:p w:rsidR="008E69BF" w:rsidRPr="00C66956" w:rsidRDefault="008E69BF" w:rsidP="008E69BF">
      <w:pPr>
        <w:pStyle w:val="ListParagraph"/>
        <w:numPr>
          <w:ilvl w:val="0"/>
          <w:numId w:val="9"/>
        </w:numPr>
        <w:spacing w:after="0"/>
        <w:rPr>
          <w:rFonts w:ascii="Garamond" w:hAnsi="Garamond" w:cs="Times New Roman"/>
        </w:rPr>
      </w:pPr>
      <w:r w:rsidRPr="00C66956">
        <w:rPr>
          <w:rFonts w:ascii="Garamond" w:hAnsi="Garamond" w:cs="Times New Roman"/>
        </w:rPr>
        <w:t>Reasonableness of expense ratios/fees;</w:t>
      </w:r>
    </w:p>
    <w:p w:rsidR="008E69BF" w:rsidRPr="00C66956" w:rsidRDefault="008E69BF" w:rsidP="008E69BF">
      <w:pPr>
        <w:pStyle w:val="ListParagraph"/>
        <w:numPr>
          <w:ilvl w:val="0"/>
          <w:numId w:val="9"/>
        </w:numPr>
        <w:spacing w:after="0"/>
        <w:rPr>
          <w:rFonts w:ascii="Garamond" w:hAnsi="Garamond" w:cs="Times New Roman"/>
        </w:rPr>
      </w:pPr>
      <w:r w:rsidRPr="00C66956">
        <w:rPr>
          <w:rFonts w:ascii="Garamond" w:hAnsi="Garamond" w:cs="Times New Roman"/>
        </w:rPr>
        <w:t>Past performance, considered relative to other investments having the same investment objective. Consideration should be given to both consistency of performance and the level of risk taken to achieve results; and</w:t>
      </w:r>
    </w:p>
    <w:p w:rsidR="008E69BF" w:rsidRPr="00C66956" w:rsidRDefault="008E69BF" w:rsidP="008E69BF">
      <w:pPr>
        <w:pStyle w:val="ListParagraph"/>
        <w:numPr>
          <w:ilvl w:val="0"/>
          <w:numId w:val="9"/>
        </w:numPr>
        <w:spacing w:after="0"/>
        <w:rPr>
          <w:rFonts w:ascii="Garamond" w:hAnsi="Garamond" w:cs="Times New Roman"/>
        </w:rPr>
      </w:pPr>
      <w:r w:rsidRPr="00C66956">
        <w:rPr>
          <w:rFonts w:ascii="Garamond" w:hAnsi="Garamond" w:cs="Times New Roman"/>
        </w:rPr>
        <w:t>Stability of the organization.</w:t>
      </w:r>
    </w:p>
    <w:p w:rsidR="008E69BF" w:rsidRPr="00C66956" w:rsidRDefault="008E69BF" w:rsidP="008E69BF">
      <w:pPr>
        <w:spacing w:after="0"/>
        <w:rPr>
          <w:rFonts w:ascii="Garamond" w:hAnsi="Garamond" w:cs="Times New Roman"/>
        </w:rPr>
      </w:pPr>
    </w:p>
    <w:p w:rsidR="008E69BF" w:rsidRPr="00C66956" w:rsidRDefault="008E69BF" w:rsidP="006F78A9">
      <w:pPr>
        <w:pStyle w:val="Heading2"/>
        <w:rPr>
          <w:rFonts w:ascii="Garamond" w:hAnsi="Garamond"/>
        </w:rPr>
      </w:pPr>
      <w:bookmarkStart w:id="22" w:name="_Toc7689740"/>
      <w:r w:rsidRPr="00C66956">
        <w:rPr>
          <w:rFonts w:ascii="Garamond" w:hAnsi="Garamond"/>
        </w:rPr>
        <w:t>Security Selection / Asset Allocation</w:t>
      </w:r>
      <w:bookmarkEnd w:id="22"/>
    </w:p>
    <w:p w:rsidR="008E69BF" w:rsidRPr="00C66956" w:rsidRDefault="008E69BF" w:rsidP="008E69BF">
      <w:pPr>
        <w:pStyle w:val="ListParagraph"/>
        <w:numPr>
          <w:ilvl w:val="0"/>
          <w:numId w:val="10"/>
        </w:numPr>
        <w:spacing w:after="0"/>
        <w:rPr>
          <w:rFonts w:ascii="Garamond" w:hAnsi="Garamond" w:cs="Times New Roman"/>
        </w:rPr>
      </w:pPr>
      <w:r w:rsidRPr="00C66956">
        <w:rPr>
          <w:rFonts w:ascii="Garamond" w:hAnsi="Garamond" w:cs="Times New Roman"/>
        </w:rPr>
        <w:t>Except as noted below, each investment manager shall have the discre</w:t>
      </w:r>
      <w:r w:rsidR="00E92A48">
        <w:rPr>
          <w:rFonts w:ascii="Garamond" w:hAnsi="Garamond" w:cs="Times New Roman"/>
        </w:rPr>
        <w:t>tion to determine its portfolio</w:t>
      </w:r>
      <w:r w:rsidRPr="00C66956">
        <w:rPr>
          <w:rFonts w:ascii="Garamond" w:hAnsi="Garamond" w:cs="Times New Roman"/>
        </w:rPr>
        <w:t>s</w:t>
      </w:r>
      <w:r w:rsidR="00E92A48">
        <w:rPr>
          <w:rFonts w:ascii="Garamond" w:hAnsi="Garamond" w:cs="Times New Roman"/>
        </w:rPr>
        <w:t>’</w:t>
      </w:r>
      <w:r w:rsidRPr="00C66956">
        <w:rPr>
          <w:rFonts w:ascii="Garamond" w:hAnsi="Garamond" w:cs="Times New Roman"/>
        </w:rPr>
        <w:t xml:space="preserve"> individual securities selection</w:t>
      </w:r>
      <w:r w:rsidR="00CB54E1">
        <w:rPr>
          <w:rFonts w:ascii="Garamond" w:hAnsi="Garamond" w:cs="Times New Roman"/>
        </w:rPr>
        <w:t>.</w:t>
      </w:r>
    </w:p>
    <w:p w:rsidR="008E69BF" w:rsidRPr="00C66956" w:rsidRDefault="008E69BF" w:rsidP="008E69BF">
      <w:pPr>
        <w:pStyle w:val="ListParagraph"/>
        <w:numPr>
          <w:ilvl w:val="0"/>
          <w:numId w:val="10"/>
        </w:numPr>
        <w:spacing w:after="0"/>
        <w:rPr>
          <w:rFonts w:ascii="Garamond" w:hAnsi="Garamond" w:cs="Times New Roman"/>
        </w:rPr>
      </w:pPr>
      <w:r w:rsidRPr="00C66956">
        <w:rPr>
          <w:rFonts w:ascii="Garamond" w:hAnsi="Garamond" w:cs="Times New Roman"/>
        </w:rPr>
        <w:t xml:space="preserve">The Plans’ portfolio is expected to operate within an overall asset allocation </w:t>
      </w:r>
      <w:r w:rsidR="00E92A48">
        <w:rPr>
          <w:rFonts w:ascii="Garamond" w:hAnsi="Garamond" w:cs="Times New Roman"/>
        </w:rPr>
        <w:t>strategy defining the portfolio</w:t>
      </w:r>
      <w:r w:rsidRPr="00C66956">
        <w:rPr>
          <w:rFonts w:ascii="Garamond" w:hAnsi="Garamond" w:cs="Times New Roman"/>
        </w:rPr>
        <w:t>s</w:t>
      </w:r>
      <w:r w:rsidR="00E92A48">
        <w:rPr>
          <w:rFonts w:ascii="Garamond" w:hAnsi="Garamond" w:cs="Times New Roman"/>
        </w:rPr>
        <w:t>’</w:t>
      </w:r>
      <w:r w:rsidRPr="00C66956">
        <w:rPr>
          <w:rFonts w:ascii="Garamond" w:hAnsi="Garamond" w:cs="Times New Roman"/>
        </w:rPr>
        <w:t xml:space="preserve"> mix of asset classes.</w:t>
      </w:r>
      <w:r w:rsidR="00153B2C" w:rsidRPr="00C66956">
        <w:rPr>
          <w:rFonts w:ascii="Garamond" w:hAnsi="Garamond" w:cs="Times New Roman"/>
        </w:rPr>
        <w:t xml:space="preserve"> This strategy</w:t>
      </w:r>
      <w:r w:rsidRPr="00C66956">
        <w:rPr>
          <w:rFonts w:ascii="Garamond" w:hAnsi="Garamond" w:cs="Times New Roman"/>
        </w:rPr>
        <w:t xml:space="preserve"> sets a long-term percentage target </w:t>
      </w:r>
      <w:r w:rsidR="00E92A48">
        <w:rPr>
          <w:rFonts w:ascii="Garamond" w:hAnsi="Garamond" w:cs="Times New Roman"/>
        </w:rPr>
        <w:t>for the amount of the portfolio</w:t>
      </w:r>
      <w:r w:rsidRPr="00C66956">
        <w:rPr>
          <w:rFonts w:ascii="Garamond" w:hAnsi="Garamond" w:cs="Times New Roman"/>
        </w:rPr>
        <w:t>s</w:t>
      </w:r>
      <w:r w:rsidR="00E92A48">
        <w:rPr>
          <w:rFonts w:ascii="Garamond" w:hAnsi="Garamond" w:cs="Times New Roman"/>
        </w:rPr>
        <w:t>’</w:t>
      </w:r>
      <w:r w:rsidRPr="00C66956">
        <w:rPr>
          <w:rFonts w:ascii="Garamond" w:hAnsi="Garamond" w:cs="Times New Roman"/>
        </w:rPr>
        <w:t xml:space="preserve"> market value that is to be invested in any one asset class. The allocation strategy also defines the allowable investment shifts between the asset classes, above and below the target allocations</w:t>
      </w:r>
      <w:r w:rsidR="00CB54E1">
        <w:rPr>
          <w:rFonts w:ascii="Garamond" w:hAnsi="Garamond" w:cs="Times New Roman"/>
        </w:rPr>
        <w:t>.</w:t>
      </w:r>
    </w:p>
    <w:p w:rsidR="008E69BF" w:rsidRPr="00C66956" w:rsidRDefault="008E69BF" w:rsidP="008E69BF">
      <w:pPr>
        <w:spacing w:after="0"/>
        <w:rPr>
          <w:rFonts w:ascii="Garamond" w:hAnsi="Garamond" w:cs="Times New Roman"/>
        </w:rPr>
      </w:pPr>
    </w:p>
    <w:p w:rsidR="008E69BF" w:rsidRPr="00C66956" w:rsidRDefault="008E69BF" w:rsidP="006F78A9">
      <w:pPr>
        <w:pStyle w:val="Heading2"/>
        <w:rPr>
          <w:rFonts w:ascii="Garamond" w:hAnsi="Garamond"/>
        </w:rPr>
      </w:pPr>
      <w:bookmarkStart w:id="23" w:name="_Toc7689741"/>
      <w:r w:rsidRPr="00C66956">
        <w:rPr>
          <w:rFonts w:ascii="Garamond" w:hAnsi="Garamond"/>
        </w:rPr>
        <w:t>Diversification Requirements</w:t>
      </w:r>
      <w:bookmarkEnd w:id="23"/>
    </w:p>
    <w:p w:rsidR="008E69BF" w:rsidRPr="00C66956" w:rsidRDefault="008E69BF" w:rsidP="008E69BF">
      <w:pPr>
        <w:spacing w:after="0"/>
        <w:rPr>
          <w:rFonts w:ascii="Garamond" w:hAnsi="Garamond" w:cs="Times New Roman"/>
        </w:rPr>
      </w:pPr>
      <w:r w:rsidRPr="00C66956">
        <w:rPr>
          <w:rFonts w:ascii="Garamond" w:hAnsi="Garamond" w:cs="Times New Roman"/>
        </w:rPr>
        <w:t>The primary method to reduce risk for the Plan</w:t>
      </w:r>
      <w:r w:rsidR="00E92A48">
        <w:rPr>
          <w:rFonts w:ascii="Garamond" w:hAnsi="Garamond" w:cs="Times New Roman"/>
        </w:rPr>
        <w:t>s’</w:t>
      </w:r>
      <w:r w:rsidRPr="00C66956">
        <w:rPr>
          <w:rFonts w:ascii="Garamond" w:hAnsi="Garamond" w:cs="Times New Roman"/>
        </w:rPr>
        <w:t xml:space="preserve"> portfolio is diversification through asset allocation. By allocating assets in different asset classes, the portfolio</w:t>
      </w:r>
      <w:r w:rsidR="00E92A48">
        <w:rPr>
          <w:rFonts w:ascii="Garamond" w:hAnsi="Garamond" w:cs="Times New Roman"/>
        </w:rPr>
        <w:t>s</w:t>
      </w:r>
      <w:r w:rsidRPr="00C66956">
        <w:rPr>
          <w:rFonts w:ascii="Garamond" w:hAnsi="Garamond" w:cs="Times New Roman"/>
        </w:rPr>
        <w:t xml:space="preserve"> can reduce risk by avoiding concentration as well as reduce risk through the low-correlation between different asset classes.</w:t>
      </w:r>
    </w:p>
    <w:p w:rsidR="005E0D5E" w:rsidRPr="00C66956" w:rsidRDefault="005E0D5E" w:rsidP="008E69BF">
      <w:pPr>
        <w:spacing w:after="0"/>
        <w:rPr>
          <w:rFonts w:ascii="Garamond" w:hAnsi="Garamond" w:cs="Times New Roman"/>
        </w:rPr>
      </w:pPr>
    </w:p>
    <w:p w:rsidR="005E0D5E" w:rsidRPr="00C66956" w:rsidRDefault="005E0D5E" w:rsidP="008E69BF">
      <w:pPr>
        <w:spacing w:after="0"/>
        <w:rPr>
          <w:rFonts w:ascii="Garamond" w:hAnsi="Garamond" w:cs="Times New Roman"/>
        </w:rPr>
      </w:pPr>
      <w:r w:rsidRPr="00C66956">
        <w:rPr>
          <w:rFonts w:ascii="Garamond" w:hAnsi="Garamond" w:cs="Times New Roman"/>
        </w:rPr>
        <w:t>Each investment manager has discretion with regard to security selection and allocation within its respective portfol</w:t>
      </w:r>
      <w:r w:rsidR="00153B2C" w:rsidRPr="00C66956">
        <w:rPr>
          <w:rFonts w:ascii="Garamond" w:hAnsi="Garamond" w:cs="Times New Roman"/>
        </w:rPr>
        <w:t>io. Unless otherwise noted</w:t>
      </w:r>
      <w:r w:rsidRPr="00C66956">
        <w:rPr>
          <w:rFonts w:ascii="Garamond" w:hAnsi="Garamond" w:cs="Times New Roman"/>
        </w:rPr>
        <w:t>, under normal market conditions, each investment manager is expected to be invested consistent with its investment style as described in its relevant documenta</w:t>
      </w:r>
      <w:r w:rsidR="00E92A48">
        <w:rPr>
          <w:rFonts w:ascii="Garamond" w:hAnsi="Garamond" w:cs="Times New Roman"/>
        </w:rPr>
        <w:t>tion. During an initial three-</w:t>
      </w:r>
      <w:r w:rsidRPr="00C66956">
        <w:rPr>
          <w:rFonts w:ascii="Garamond" w:hAnsi="Garamond" w:cs="Times New Roman"/>
        </w:rPr>
        <w:t>month period after being retained, the investment manager may hold cash and cash equivalents in larger proportions in order to invest their portfolio on an orderly basis.</w:t>
      </w:r>
    </w:p>
    <w:p w:rsidR="005E0D5E" w:rsidRPr="00C66956" w:rsidRDefault="005E0D5E" w:rsidP="008E69BF">
      <w:pPr>
        <w:spacing w:after="0"/>
        <w:rPr>
          <w:rFonts w:ascii="Garamond" w:hAnsi="Garamond" w:cs="Times New Roman"/>
        </w:rPr>
      </w:pPr>
    </w:p>
    <w:p w:rsidR="005E0D5E" w:rsidRPr="00C66956" w:rsidRDefault="005E0D5E" w:rsidP="008E69BF">
      <w:pPr>
        <w:spacing w:after="0"/>
        <w:rPr>
          <w:rFonts w:ascii="Garamond" w:hAnsi="Garamond" w:cs="Times New Roman"/>
        </w:rPr>
      </w:pPr>
      <w:r w:rsidRPr="00C66956">
        <w:rPr>
          <w:rFonts w:ascii="Garamond" w:hAnsi="Garamond" w:cs="Times New Roman"/>
        </w:rPr>
        <w:t>To maximize the risk of large losses, each investment manager shall maintain adequate diversification in their portfolio subject to the constraints outlined in this IPS, and in their investment management agreement with the Plan</w:t>
      </w:r>
      <w:r w:rsidR="00E92A48">
        <w:rPr>
          <w:rFonts w:ascii="Garamond" w:hAnsi="Garamond" w:cs="Times New Roman"/>
        </w:rPr>
        <w:t>s</w:t>
      </w:r>
      <w:r w:rsidRPr="00C66956">
        <w:rPr>
          <w:rFonts w:ascii="Garamond" w:hAnsi="Garamond" w:cs="Times New Roman"/>
        </w:rPr>
        <w:t>.</w:t>
      </w:r>
    </w:p>
    <w:p w:rsidR="005E0D5E" w:rsidRPr="00C66956" w:rsidRDefault="005E0D5E" w:rsidP="008E69BF">
      <w:pPr>
        <w:spacing w:after="0"/>
        <w:rPr>
          <w:rFonts w:ascii="Garamond" w:hAnsi="Garamond" w:cs="Times New Roman"/>
        </w:rPr>
      </w:pPr>
    </w:p>
    <w:p w:rsidR="005E0D5E" w:rsidRPr="00C66956" w:rsidRDefault="005E0D5E" w:rsidP="006F78A9">
      <w:pPr>
        <w:pStyle w:val="Heading2"/>
        <w:rPr>
          <w:rFonts w:ascii="Garamond" w:hAnsi="Garamond"/>
        </w:rPr>
      </w:pPr>
      <w:bookmarkStart w:id="24" w:name="_Toc7689742"/>
      <w:r w:rsidRPr="00C66956">
        <w:rPr>
          <w:rFonts w:ascii="Garamond" w:hAnsi="Garamond"/>
        </w:rPr>
        <w:t>Derivatives and Structured Products</w:t>
      </w:r>
      <w:bookmarkEnd w:id="24"/>
    </w:p>
    <w:p w:rsidR="005E0D5E" w:rsidRPr="00C66956" w:rsidRDefault="003373D6" w:rsidP="008E69BF">
      <w:pPr>
        <w:spacing w:after="0"/>
        <w:rPr>
          <w:rFonts w:ascii="Garamond" w:hAnsi="Garamond" w:cs="Times New Roman"/>
        </w:rPr>
      </w:pPr>
      <w:r w:rsidRPr="00C66956">
        <w:rPr>
          <w:rFonts w:ascii="Garamond" w:hAnsi="Garamond" w:cs="Times New Roman"/>
        </w:rPr>
        <w:t>D</w:t>
      </w:r>
      <w:r w:rsidR="005E0D5E" w:rsidRPr="00C66956">
        <w:rPr>
          <w:rFonts w:ascii="Garamond" w:hAnsi="Garamond" w:cs="Times New Roman"/>
        </w:rPr>
        <w:t>erivatives and structured products can be used to efficiently reduce the risk of the portfolio and to expand the return opportunities. However, when used improperly, they can also increase the risk of the portfolio. Before an investment manager uses any security other than standard securities (suc</w:t>
      </w:r>
      <w:r w:rsidR="00E92A48">
        <w:rPr>
          <w:rFonts w:ascii="Garamond" w:hAnsi="Garamond" w:cs="Times New Roman"/>
        </w:rPr>
        <w:t>h as: exchange-traded common stock; interest-</w:t>
      </w:r>
      <w:r w:rsidR="005E0D5E" w:rsidRPr="00C66956">
        <w:rPr>
          <w:rFonts w:ascii="Garamond" w:hAnsi="Garamond" w:cs="Times New Roman"/>
        </w:rPr>
        <w:t xml:space="preserve">bearing bonds and cash equivalents), the security, </w:t>
      </w:r>
      <w:r w:rsidR="00CC4C4F" w:rsidRPr="00C66956">
        <w:rPr>
          <w:rFonts w:ascii="Garamond" w:hAnsi="Garamond" w:cs="Times New Roman"/>
        </w:rPr>
        <w:t xml:space="preserve">derivative or structured product must be explained to and approved by the PBB. Derivatives are allowed to hedge an underlying position and may be used to take a long position in anticipation of a cash </w:t>
      </w:r>
      <w:r w:rsidR="00B8471F" w:rsidRPr="00C66956">
        <w:rPr>
          <w:rFonts w:ascii="Garamond" w:hAnsi="Garamond" w:cs="Times New Roman"/>
        </w:rPr>
        <w:t>inflow. Once the cash is used to open a position in the underlying security, the derivative position should be closed out. No derivative or structured product is allowed that will increase the potential for loss greater than that of a long position in the underlying security.</w:t>
      </w:r>
      <w:r w:rsidR="00DE4953">
        <w:rPr>
          <w:rFonts w:ascii="Garamond" w:hAnsi="Garamond" w:cs="Times New Roman"/>
        </w:rPr>
        <w:t xml:space="preserve">  This paragraph does not apply to investments in mutual funds or ETFs.</w:t>
      </w:r>
    </w:p>
    <w:p w:rsidR="00B8471F" w:rsidRPr="00C66956" w:rsidRDefault="00B8471F" w:rsidP="008E69BF">
      <w:pPr>
        <w:spacing w:after="0"/>
        <w:rPr>
          <w:rFonts w:ascii="Garamond" w:hAnsi="Garamond" w:cs="Times New Roman"/>
        </w:rPr>
      </w:pPr>
    </w:p>
    <w:p w:rsidR="00B8471F" w:rsidRPr="00C66956" w:rsidRDefault="00B8471F" w:rsidP="006F78A9">
      <w:pPr>
        <w:pStyle w:val="Heading2"/>
        <w:rPr>
          <w:rFonts w:ascii="Garamond" w:hAnsi="Garamond"/>
        </w:rPr>
      </w:pPr>
      <w:bookmarkStart w:id="25" w:name="_Toc7689743"/>
      <w:r w:rsidRPr="00C66956">
        <w:rPr>
          <w:rFonts w:ascii="Garamond" w:hAnsi="Garamond"/>
        </w:rPr>
        <w:t>Alternative Investments</w:t>
      </w:r>
      <w:bookmarkEnd w:id="25"/>
    </w:p>
    <w:p w:rsidR="00B8471F" w:rsidRPr="00C66956" w:rsidRDefault="00B8471F" w:rsidP="008E69BF">
      <w:pPr>
        <w:spacing w:after="0"/>
        <w:rPr>
          <w:rFonts w:ascii="Garamond" w:hAnsi="Garamond" w:cs="Times New Roman"/>
        </w:rPr>
      </w:pPr>
      <w:r w:rsidRPr="00C66956">
        <w:rPr>
          <w:rFonts w:ascii="Garamond" w:hAnsi="Garamond" w:cs="Times New Roman"/>
        </w:rPr>
        <w:t xml:space="preserve">Alternative investments represent investments in investment vehicles that seek to provide diversification through innovative and flexible strategies (such as the ability to short, add leverage and hedge). Investments in such vehicles are expected to provide diversification and the opportunity for capital appreciation. Diversification standards within each investment vehicle shall be according to the prospectus or trust </w:t>
      </w:r>
      <w:r w:rsidRPr="00C66956">
        <w:rPr>
          <w:rFonts w:ascii="Garamond" w:hAnsi="Garamond" w:cs="Times New Roman"/>
        </w:rPr>
        <w:lastRenderedPageBreak/>
        <w:t xml:space="preserve">document. Investments in these investment vehicles carry special risks. The fund(s) may utilize speculative investment </w:t>
      </w:r>
      <w:r w:rsidR="00506627" w:rsidRPr="00C66956">
        <w:rPr>
          <w:rFonts w:ascii="Garamond" w:hAnsi="Garamond" w:cs="Times New Roman"/>
        </w:rPr>
        <w:t>strategies, trade in volatile securities, and use leverage in an attempt to generate superior investment returns. The fund(s) may invest in illiquid securities for which there is not ready market and place restrictions on investors as to when funds may be withdr</w:t>
      </w:r>
      <w:r w:rsidR="00E92A48">
        <w:rPr>
          <w:rFonts w:ascii="Garamond" w:hAnsi="Garamond" w:cs="Times New Roman"/>
        </w:rPr>
        <w:t>awn. Only investments in fund or</w:t>
      </w:r>
      <w:r w:rsidR="00506627" w:rsidRPr="00C66956">
        <w:rPr>
          <w:rFonts w:ascii="Garamond" w:hAnsi="Garamond" w:cs="Times New Roman"/>
        </w:rPr>
        <w:t xml:space="preserve"> fund vehicles that are diversified by investment style and typically utilize multiple investment managers within a fund are allowed.</w:t>
      </w:r>
      <w:r w:rsidR="00CB54E1">
        <w:rPr>
          <w:rFonts w:ascii="Garamond" w:hAnsi="Garamond" w:cs="Times New Roman"/>
        </w:rPr>
        <w:t xml:space="preserve">  Before an alternative investment strategy is utilized, the strategy must be explained to, and approved by, the PBB.</w:t>
      </w:r>
    </w:p>
    <w:p w:rsidR="001E1177" w:rsidRPr="00C66956" w:rsidRDefault="001E1177" w:rsidP="008E69BF">
      <w:pPr>
        <w:spacing w:after="0"/>
        <w:rPr>
          <w:rFonts w:ascii="Garamond" w:hAnsi="Garamond" w:cs="Times New Roman"/>
        </w:rPr>
      </w:pPr>
    </w:p>
    <w:p w:rsidR="001E1177" w:rsidRPr="00C66956" w:rsidRDefault="001E1177" w:rsidP="006F78A9">
      <w:pPr>
        <w:pStyle w:val="Heading2"/>
        <w:rPr>
          <w:rFonts w:ascii="Garamond" w:hAnsi="Garamond"/>
        </w:rPr>
      </w:pPr>
      <w:bookmarkStart w:id="26" w:name="_Toc7689744"/>
      <w:r w:rsidRPr="00C66956">
        <w:rPr>
          <w:rFonts w:ascii="Garamond" w:hAnsi="Garamond"/>
        </w:rPr>
        <w:t>Cash and Equivalents</w:t>
      </w:r>
      <w:bookmarkEnd w:id="26"/>
    </w:p>
    <w:p w:rsidR="001E1177" w:rsidRPr="00C66956" w:rsidRDefault="001E1177" w:rsidP="008E69BF">
      <w:pPr>
        <w:spacing w:after="0"/>
        <w:rPr>
          <w:rFonts w:ascii="Garamond" w:hAnsi="Garamond" w:cs="Times New Roman"/>
        </w:rPr>
      </w:pPr>
      <w:r w:rsidRPr="00C66956">
        <w:rPr>
          <w:rFonts w:ascii="Garamond" w:hAnsi="Garamond" w:cs="Times New Roman"/>
        </w:rPr>
        <w:t>It is generally expected that the investment manager will remain fully invested in securities; however, it is recognized that cash reserves may be utilized from time to time to provide liquidity or to implement some types of investment strategies. Cash reserves should be held in the custodian’s money market fund, short-term maturity Treasury securities, and insured savings instruments of commercial banks and savings and loans.</w:t>
      </w:r>
    </w:p>
    <w:p w:rsidR="001E1177" w:rsidRPr="00C66956" w:rsidRDefault="001E1177" w:rsidP="008E69BF">
      <w:pPr>
        <w:spacing w:after="0"/>
        <w:rPr>
          <w:rFonts w:ascii="Garamond" w:hAnsi="Garamond" w:cs="Times New Roman"/>
          <w:i/>
          <w:sz w:val="20"/>
          <w:szCs w:val="20"/>
        </w:rPr>
      </w:pPr>
    </w:p>
    <w:p w:rsidR="001E1177" w:rsidRPr="00CB54E1" w:rsidRDefault="001E1177" w:rsidP="008E69BF">
      <w:pPr>
        <w:spacing w:after="0"/>
        <w:rPr>
          <w:rFonts w:ascii="Garamond" w:hAnsi="Garamond" w:cs="Times New Roman"/>
        </w:rPr>
      </w:pPr>
      <w:r w:rsidRPr="00CB54E1">
        <w:rPr>
          <w:rFonts w:ascii="Garamond" w:hAnsi="Garamond" w:cs="Times New Roman"/>
        </w:rPr>
        <w:t>Actions that may cause a significant deviation from these investment guidelines should be bro</w:t>
      </w:r>
      <w:r w:rsidR="00E92A48">
        <w:rPr>
          <w:rFonts w:ascii="Garamond" w:hAnsi="Garamond" w:cs="Times New Roman"/>
        </w:rPr>
        <w:t>ught to the attention of the i</w:t>
      </w:r>
      <w:r w:rsidRPr="00CB54E1">
        <w:rPr>
          <w:rFonts w:ascii="Garamond" w:hAnsi="Garamond" w:cs="Times New Roman"/>
        </w:rPr>
        <w:t xml:space="preserve">nvestment </w:t>
      </w:r>
      <w:r w:rsidR="00E92A48">
        <w:rPr>
          <w:rFonts w:ascii="Garamond" w:hAnsi="Garamond" w:cs="Times New Roman"/>
        </w:rPr>
        <w:t>a</w:t>
      </w:r>
      <w:r w:rsidR="00884DB1" w:rsidRPr="00CB54E1">
        <w:rPr>
          <w:rFonts w:ascii="Garamond" w:hAnsi="Garamond" w:cs="Times New Roman"/>
        </w:rPr>
        <w:t>dvisor</w:t>
      </w:r>
      <w:r w:rsidRPr="00CB54E1">
        <w:rPr>
          <w:rFonts w:ascii="Garamond" w:hAnsi="Garamond" w:cs="Times New Roman"/>
        </w:rPr>
        <w:t xml:space="preserve"> by the investment manager prior to execution. Such actions may be authorized by the PBB if it determines they do not constitute an inappropriate departure from the spirit of this IPS. Similarly, unanticipated market action should also be brought to t</w:t>
      </w:r>
      <w:r w:rsidR="00E92A48">
        <w:rPr>
          <w:rFonts w:ascii="Garamond" w:hAnsi="Garamond" w:cs="Times New Roman"/>
        </w:rPr>
        <w:t>he attention of the PBB by the i</w:t>
      </w:r>
      <w:r w:rsidRPr="00CB54E1">
        <w:rPr>
          <w:rFonts w:ascii="Garamond" w:hAnsi="Garamond" w:cs="Times New Roman"/>
        </w:rPr>
        <w:t xml:space="preserve">nvestment </w:t>
      </w:r>
      <w:r w:rsidR="00E92A48">
        <w:rPr>
          <w:rFonts w:ascii="Garamond" w:hAnsi="Garamond" w:cs="Times New Roman"/>
        </w:rPr>
        <w:t>a</w:t>
      </w:r>
      <w:r w:rsidR="00884DB1" w:rsidRPr="00CB54E1">
        <w:rPr>
          <w:rFonts w:ascii="Garamond" w:hAnsi="Garamond" w:cs="Times New Roman"/>
        </w:rPr>
        <w:t>dvisor</w:t>
      </w:r>
      <w:r w:rsidRPr="00CB54E1">
        <w:rPr>
          <w:rFonts w:ascii="Garamond" w:hAnsi="Garamond" w:cs="Times New Roman"/>
        </w:rPr>
        <w:t>.</w:t>
      </w:r>
    </w:p>
    <w:p w:rsidR="00B8471F" w:rsidRPr="00C66956" w:rsidRDefault="00B8471F" w:rsidP="008E69BF">
      <w:pPr>
        <w:spacing w:after="0"/>
        <w:rPr>
          <w:rFonts w:ascii="Garamond" w:hAnsi="Garamond" w:cs="Times New Roman"/>
        </w:rPr>
      </w:pPr>
    </w:p>
    <w:p w:rsidR="001E1177" w:rsidRPr="00C66956" w:rsidRDefault="001E1177" w:rsidP="006F78A9">
      <w:pPr>
        <w:pStyle w:val="Heading2"/>
        <w:rPr>
          <w:rFonts w:ascii="Garamond" w:hAnsi="Garamond"/>
        </w:rPr>
      </w:pPr>
      <w:bookmarkStart w:id="27" w:name="_Toc7689745"/>
      <w:r w:rsidRPr="00C66956">
        <w:rPr>
          <w:rFonts w:ascii="Garamond" w:hAnsi="Garamond"/>
        </w:rPr>
        <w:t>Exclusions</w:t>
      </w:r>
      <w:bookmarkEnd w:id="27"/>
    </w:p>
    <w:p w:rsidR="001E1177" w:rsidRPr="00C66956" w:rsidRDefault="001E1177" w:rsidP="008E69BF">
      <w:pPr>
        <w:spacing w:after="0"/>
        <w:rPr>
          <w:rFonts w:ascii="Garamond" w:hAnsi="Garamond" w:cs="Times New Roman"/>
        </w:rPr>
      </w:pPr>
      <w:r w:rsidRPr="00C66956">
        <w:rPr>
          <w:rFonts w:ascii="Garamond" w:hAnsi="Garamond" w:cs="Times New Roman"/>
        </w:rPr>
        <w:t xml:space="preserve">The </w:t>
      </w:r>
      <w:r w:rsidR="003373D6" w:rsidRPr="00C66956">
        <w:rPr>
          <w:rFonts w:ascii="Garamond" w:hAnsi="Garamond" w:cs="Times New Roman"/>
        </w:rPr>
        <w:t>Plans’</w:t>
      </w:r>
      <w:r w:rsidRPr="00C66956">
        <w:rPr>
          <w:rFonts w:ascii="Garamond" w:hAnsi="Garamond" w:cs="Times New Roman"/>
        </w:rPr>
        <w:t xml:space="preserve"> assets should not be invested in the followi</w:t>
      </w:r>
      <w:r w:rsidR="003373D6" w:rsidRPr="00C66956">
        <w:rPr>
          <w:rFonts w:ascii="Garamond" w:hAnsi="Garamond" w:cs="Times New Roman"/>
        </w:rPr>
        <w:t>ng unless agreed to by the PBB</w:t>
      </w:r>
      <w:r w:rsidRPr="00C66956">
        <w:rPr>
          <w:rFonts w:ascii="Garamond" w:hAnsi="Garamond" w:cs="Times New Roman"/>
        </w:rPr>
        <w:t xml:space="preserve"> pursuant to an approved strategy or specifically </w:t>
      </w:r>
      <w:r w:rsidR="003373D6" w:rsidRPr="00C66956">
        <w:rPr>
          <w:rFonts w:ascii="Garamond" w:hAnsi="Garamond" w:cs="Times New Roman"/>
        </w:rPr>
        <w:t>approved in writing by the PBB</w:t>
      </w:r>
      <w:r w:rsidRPr="00C66956">
        <w:rPr>
          <w:rFonts w:ascii="Garamond" w:hAnsi="Garamond" w:cs="Times New Roman"/>
        </w:rPr>
        <w:t>:</w:t>
      </w:r>
    </w:p>
    <w:p w:rsidR="001E1177" w:rsidRPr="00C66956" w:rsidRDefault="001E1177" w:rsidP="001E1177">
      <w:pPr>
        <w:pStyle w:val="ListParagraph"/>
        <w:numPr>
          <w:ilvl w:val="0"/>
          <w:numId w:val="11"/>
        </w:numPr>
        <w:spacing w:after="0"/>
        <w:rPr>
          <w:rFonts w:ascii="Garamond" w:hAnsi="Garamond" w:cs="Times New Roman"/>
        </w:rPr>
      </w:pPr>
      <w:r w:rsidRPr="00C66956">
        <w:rPr>
          <w:rFonts w:ascii="Garamond" w:hAnsi="Garamond" w:cs="Times New Roman"/>
        </w:rPr>
        <w:t xml:space="preserve">Purchases of letter stock, private placements, or direct payments; </w:t>
      </w:r>
    </w:p>
    <w:p w:rsidR="001E1177" w:rsidRPr="00C66956" w:rsidRDefault="001E1177" w:rsidP="001E1177">
      <w:pPr>
        <w:pStyle w:val="ListParagraph"/>
        <w:numPr>
          <w:ilvl w:val="0"/>
          <w:numId w:val="11"/>
        </w:numPr>
        <w:spacing w:after="0"/>
        <w:rPr>
          <w:rFonts w:ascii="Garamond" w:hAnsi="Garamond" w:cs="Times New Roman"/>
        </w:rPr>
      </w:pPr>
      <w:r w:rsidRPr="00C66956">
        <w:rPr>
          <w:rFonts w:ascii="Garamond" w:hAnsi="Garamond" w:cs="Times New Roman"/>
        </w:rPr>
        <w:t xml:space="preserve">Private placement convertible issues, also known as “144A” convertible securities; </w:t>
      </w:r>
    </w:p>
    <w:p w:rsidR="001E1177" w:rsidRPr="00C66956" w:rsidRDefault="001E1177" w:rsidP="001E1177">
      <w:pPr>
        <w:pStyle w:val="ListParagraph"/>
        <w:numPr>
          <w:ilvl w:val="0"/>
          <w:numId w:val="11"/>
        </w:numPr>
        <w:spacing w:after="0"/>
        <w:rPr>
          <w:rFonts w:ascii="Garamond" w:hAnsi="Garamond" w:cs="Times New Roman"/>
        </w:rPr>
      </w:pPr>
      <w:r w:rsidRPr="00C66956">
        <w:rPr>
          <w:rFonts w:ascii="Garamond" w:hAnsi="Garamond" w:cs="Times New Roman"/>
        </w:rPr>
        <w:t>Commodities transactions unless by managers approved for that strategy;</w:t>
      </w:r>
    </w:p>
    <w:p w:rsidR="001E1177" w:rsidRPr="00C66956" w:rsidRDefault="001E1177" w:rsidP="001E1177">
      <w:pPr>
        <w:pStyle w:val="ListParagraph"/>
        <w:numPr>
          <w:ilvl w:val="0"/>
          <w:numId w:val="11"/>
        </w:numPr>
        <w:spacing w:after="0"/>
        <w:rPr>
          <w:rFonts w:ascii="Garamond" w:hAnsi="Garamond" w:cs="Times New Roman"/>
        </w:rPr>
      </w:pPr>
      <w:r w:rsidRPr="00C66956">
        <w:rPr>
          <w:rFonts w:ascii="Garamond" w:hAnsi="Garamond" w:cs="Times New Roman"/>
        </w:rPr>
        <w:t>Purchases of real estate, oil and gas propert</w:t>
      </w:r>
      <w:r w:rsidR="00E92A48">
        <w:rPr>
          <w:rFonts w:ascii="Garamond" w:hAnsi="Garamond" w:cs="Times New Roman"/>
        </w:rPr>
        <w:t>ies, or other natural resources–</w:t>
      </w:r>
      <w:r w:rsidRPr="00C66956">
        <w:rPr>
          <w:rFonts w:ascii="Garamond" w:hAnsi="Garamond" w:cs="Times New Roman"/>
        </w:rPr>
        <w:t>related properties with the exception of Real Estate Investment Trusts or securities of real estate operating companies;</w:t>
      </w:r>
    </w:p>
    <w:p w:rsidR="001E1177" w:rsidRPr="00C66956" w:rsidRDefault="001E1177" w:rsidP="001E1177">
      <w:pPr>
        <w:pStyle w:val="ListParagraph"/>
        <w:numPr>
          <w:ilvl w:val="0"/>
          <w:numId w:val="11"/>
        </w:numPr>
        <w:spacing w:after="0"/>
        <w:rPr>
          <w:rFonts w:ascii="Garamond" w:hAnsi="Garamond" w:cs="Times New Roman"/>
        </w:rPr>
      </w:pPr>
      <w:r w:rsidRPr="00C66956">
        <w:rPr>
          <w:rFonts w:ascii="Garamond" w:hAnsi="Garamond" w:cs="Times New Roman"/>
        </w:rPr>
        <w:t xml:space="preserve">Investments by the investment manager in their own securities or of their affiliates, or subsidiaries (excluding money market or other commingled </w:t>
      </w:r>
      <w:r w:rsidR="003373D6" w:rsidRPr="00C66956">
        <w:rPr>
          <w:rFonts w:ascii="Garamond" w:hAnsi="Garamond" w:cs="Times New Roman"/>
        </w:rPr>
        <w:t>funds as authorized by the PBB</w:t>
      </w:r>
      <w:r w:rsidRPr="00C66956">
        <w:rPr>
          <w:rFonts w:ascii="Garamond" w:hAnsi="Garamond" w:cs="Times New Roman"/>
        </w:rPr>
        <w:t>); and</w:t>
      </w:r>
    </w:p>
    <w:p w:rsidR="001E1177" w:rsidRPr="00C66956" w:rsidRDefault="001E1177" w:rsidP="001E1177">
      <w:pPr>
        <w:pStyle w:val="ListParagraph"/>
        <w:numPr>
          <w:ilvl w:val="0"/>
          <w:numId w:val="11"/>
        </w:numPr>
        <w:spacing w:after="0"/>
        <w:rPr>
          <w:rFonts w:ascii="Garamond" w:hAnsi="Garamond" w:cs="Times New Roman"/>
        </w:rPr>
      </w:pPr>
      <w:r w:rsidRPr="00C66956">
        <w:rPr>
          <w:rFonts w:ascii="Garamond" w:hAnsi="Garamond" w:cs="Times New Roman"/>
        </w:rPr>
        <w:t xml:space="preserve">Any other security transaction not specifically authorized in this </w:t>
      </w:r>
      <w:r w:rsidR="003373D6" w:rsidRPr="00C66956">
        <w:rPr>
          <w:rFonts w:ascii="Garamond" w:hAnsi="Garamond" w:cs="Times New Roman"/>
        </w:rPr>
        <w:t>IPS</w:t>
      </w:r>
      <w:r w:rsidRPr="00C66956">
        <w:rPr>
          <w:rFonts w:ascii="Garamond" w:hAnsi="Garamond" w:cs="Times New Roman"/>
        </w:rPr>
        <w:t>.</w:t>
      </w:r>
    </w:p>
    <w:p w:rsidR="001E1177" w:rsidRPr="00C66956" w:rsidRDefault="001E1177" w:rsidP="001E1177">
      <w:pPr>
        <w:spacing w:after="0"/>
        <w:rPr>
          <w:rFonts w:ascii="Garamond" w:hAnsi="Garamond" w:cs="Times New Roman"/>
        </w:rPr>
      </w:pPr>
    </w:p>
    <w:p w:rsidR="009D5973" w:rsidRPr="00C66956" w:rsidRDefault="009D5973" w:rsidP="006F78A9">
      <w:pPr>
        <w:pStyle w:val="Heading1"/>
        <w:numPr>
          <w:ilvl w:val="0"/>
          <w:numId w:val="16"/>
        </w:numPr>
        <w:rPr>
          <w:rFonts w:ascii="Garamond" w:hAnsi="Garamond"/>
        </w:rPr>
      </w:pPr>
      <w:bookmarkStart w:id="28" w:name="_Toc7689746"/>
      <w:r w:rsidRPr="00C66956">
        <w:rPr>
          <w:rFonts w:ascii="Garamond" w:hAnsi="Garamond"/>
        </w:rPr>
        <w:t>Constraints</w:t>
      </w:r>
      <w:bookmarkEnd w:id="28"/>
    </w:p>
    <w:p w:rsidR="009D5973" w:rsidRPr="00C66956" w:rsidRDefault="009D5973" w:rsidP="009D5973">
      <w:pPr>
        <w:spacing w:after="0"/>
        <w:rPr>
          <w:rFonts w:ascii="Garamond" w:hAnsi="Garamond" w:cs="Times New Roman"/>
        </w:rPr>
      </w:pPr>
    </w:p>
    <w:p w:rsidR="009D5973" w:rsidRPr="00C66956" w:rsidRDefault="009D5973" w:rsidP="006F78A9">
      <w:pPr>
        <w:pStyle w:val="Heading2"/>
        <w:rPr>
          <w:rFonts w:ascii="Garamond" w:hAnsi="Garamond"/>
        </w:rPr>
      </w:pPr>
      <w:bookmarkStart w:id="29" w:name="_Toc7689747"/>
      <w:r w:rsidRPr="00C66956">
        <w:rPr>
          <w:rFonts w:ascii="Garamond" w:hAnsi="Garamond"/>
        </w:rPr>
        <w:t>Time Horizon</w:t>
      </w:r>
      <w:bookmarkEnd w:id="29"/>
    </w:p>
    <w:p w:rsidR="009D5973" w:rsidRPr="00C66956" w:rsidRDefault="009D5973" w:rsidP="009D5973">
      <w:pPr>
        <w:spacing w:after="0"/>
        <w:rPr>
          <w:rFonts w:ascii="Garamond" w:hAnsi="Garamond" w:cs="Times New Roman"/>
        </w:rPr>
      </w:pPr>
      <w:r w:rsidRPr="00C66956">
        <w:rPr>
          <w:rFonts w:ascii="Garamond" w:hAnsi="Garamond" w:cs="Times New Roman"/>
        </w:rPr>
        <w:t>The</w:t>
      </w:r>
      <w:r w:rsidR="00E92A48">
        <w:rPr>
          <w:rFonts w:ascii="Garamond" w:hAnsi="Garamond" w:cs="Times New Roman"/>
        </w:rPr>
        <w:t xml:space="preserve"> Town of Old Saybrook is a long-</w:t>
      </w:r>
      <w:r w:rsidRPr="00C66956">
        <w:rPr>
          <w:rFonts w:ascii="Garamond" w:hAnsi="Garamond" w:cs="Times New Roman"/>
        </w:rPr>
        <w:t>term investor. The risk and return of the portfolio should be judged over the 3</w:t>
      </w:r>
      <w:r w:rsidR="00E92A48">
        <w:rPr>
          <w:rFonts w:ascii="Garamond" w:hAnsi="Garamond" w:cs="Times New Roman"/>
        </w:rPr>
        <w:t>- to 5-</w:t>
      </w:r>
      <w:r w:rsidRPr="00C66956">
        <w:rPr>
          <w:rFonts w:ascii="Garamond" w:hAnsi="Garamond" w:cs="Times New Roman"/>
        </w:rPr>
        <w:t>year horizon.</w:t>
      </w:r>
    </w:p>
    <w:p w:rsidR="009D5973" w:rsidRPr="00C66956" w:rsidRDefault="009D5973" w:rsidP="009D5973">
      <w:pPr>
        <w:spacing w:after="0"/>
        <w:rPr>
          <w:rFonts w:ascii="Garamond" w:hAnsi="Garamond" w:cs="Times New Roman"/>
        </w:rPr>
      </w:pPr>
    </w:p>
    <w:p w:rsidR="009D5973" w:rsidRPr="00C66956" w:rsidRDefault="009D5973" w:rsidP="006F78A9">
      <w:pPr>
        <w:pStyle w:val="Heading2"/>
        <w:rPr>
          <w:rFonts w:ascii="Garamond" w:hAnsi="Garamond"/>
        </w:rPr>
      </w:pPr>
      <w:bookmarkStart w:id="30" w:name="_Toc7689748"/>
      <w:r w:rsidRPr="00C66956">
        <w:rPr>
          <w:rFonts w:ascii="Garamond" w:hAnsi="Garamond"/>
        </w:rPr>
        <w:lastRenderedPageBreak/>
        <w:t>Liquidity Requirements and Spending</w:t>
      </w:r>
      <w:bookmarkEnd w:id="30"/>
    </w:p>
    <w:p w:rsidR="009D5973" w:rsidRPr="00C66956" w:rsidRDefault="009D5973" w:rsidP="009D5973">
      <w:pPr>
        <w:spacing w:after="0"/>
        <w:rPr>
          <w:rFonts w:ascii="Garamond" w:hAnsi="Garamond" w:cs="Times New Roman"/>
        </w:rPr>
      </w:pPr>
      <w:r w:rsidRPr="00C66956">
        <w:rPr>
          <w:rFonts w:ascii="Garamond" w:hAnsi="Garamond" w:cs="Times New Roman"/>
        </w:rPr>
        <w:t xml:space="preserve">On at least an annual basis, the investment </w:t>
      </w:r>
      <w:r w:rsidR="00884DB1">
        <w:rPr>
          <w:rFonts w:ascii="Garamond" w:hAnsi="Garamond" w:cs="Times New Roman"/>
        </w:rPr>
        <w:t>advisor</w:t>
      </w:r>
      <w:r w:rsidRPr="00C66956">
        <w:rPr>
          <w:rFonts w:ascii="Garamond" w:hAnsi="Garamond" w:cs="Times New Roman"/>
        </w:rPr>
        <w:t xml:space="preserve"> will provide a cash flow and liquid asset report to the PBB. This report will show the annual pension payroll outflow, employee and employer contributions and income generated from dividends and interest. Should the cash flows not be sufficient to cover the pension payroll</w:t>
      </w:r>
      <w:r w:rsidR="003373D6" w:rsidRPr="00C66956">
        <w:rPr>
          <w:rFonts w:ascii="Garamond" w:hAnsi="Garamond" w:cs="Times New Roman"/>
        </w:rPr>
        <w:t>,</w:t>
      </w:r>
      <w:r w:rsidRPr="00C66956">
        <w:rPr>
          <w:rFonts w:ascii="Garamond" w:hAnsi="Garamond" w:cs="Times New Roman"/>
        </w:rPr>
        <w:t xml:space="preserve"> a review and restatement of the cash asset allocation should be considered and approved.</w:t>
      </w:r>
    </w:p>
    <w:p w:rsidR="009D5973" w:rsidRPr="00C66956" w:rsidRDefault="009D5973" w:rsidP="009D5973">
      <w:pPr>
        <w:spacing w:after="0"/>
        <w:rPr>
          <w:rFonts w:ascii="Garamond" w:hAnsi="Garamond" w:cs="Times New Roman"/>
        </w:rPr>
      </w:pPr>
    </w:p>
    <w:p w:rsidR="009D5973" w:rsidRPr="00C66956" w:rsidRDefault="009D5973" w:rsidP="006F78A9">
      <w:pPr>
        <w:pStyle w:val="Heading2"/>
        <w:rPr>
          <w:rFonts w:ascii="Garamond" w:hAnsi="Garamond"/>
        </w:rPr>
      </w:pPr>
      <w:bookmarkStart w:id="31" w:name="_Toc7689749"/>
      <w:r w:rsidRPr="00C66956">
        <w:rPr>
          <w:rFonts w:ascii="Garamond" w:hAnsi="Garamond"/>
        </w:rPr>
        <w:t xml:space="preserve">Tax, Legal </w:t>
      </w:r>
      <w:r w:rsidR="00E92A48">
        <w:rPr>
          <w:rFonts w:ascii="Garamond" w:hAnsi="Garamond"/>
        </w:rPr>
        <w:t>/</w:t>
      </w:r>
      <w:r w:rsidRPr="00C66956">
        <w:rPr>
          <w:rFonts w:ascii="Garamond" w:hAnsi="Garamond"/>
        </w:rPr>
        <w:t xml:space="preserve"> Regulatory and Unique Considerations</w:t>
      </w:r>
      <w:bookmarkEnd w:id="31"/>
    </w:p>
    <w:p w:rsidR="009D5973" w:rsidRPr="00C66956" w:rsidRDefault="009D5973" w:rsidP="009D5973">
      <w:pPr>
        <w:spacing w:after="0"/>
        <w:rPr>
          <w:rFonts w:ascii="Garamond" w:hAnsi="Garamond" w:cs="Times New Roman"/>
        </w:rPr>
      </w:pPr>
      <w:r w:rsidRPr="00C66956">
        <w:rPr>
          <w:rFonts w:ascii="Garamond" w:hAnsi="Garamond" w:cs="Times New Roman"/>
        </w:rPr>
        <w:t>The Plan</w:t>
      </w:r>
      <w:r w:rsidR="00400E39">
        <w:rPr>
          <w:rFonts w:ascii="Garamond" w:hAnsi="Garamond" w:cs="Times New Roman"/>
        </w:rPr>
        <w:t>s are</w:t>
      </w:r>
      <w:r w:rsidRPr="00C66956">
        <w:rPr>
          <w:rFonts w:ascii="Garamond" w:hAnsi="Garamond" w:cs="Times New Roman"/>
        </w:rPr>
        <w:t xml:space="preserve"> not subject to federal or state income taxes. </w:t>
      </w:r>
    </w:p>
    <w:p w:rsidR="009D5973" w:rsidRPr="00C66956" w:rsidRDefault="009D5973" w:rsidP="009D5973">
      <w:pPr>
        <w:spacing w:after="0"/>
        <w:rPr>
          <w:rFonts w:ascii="Garamond" w:hAnsi="Garamond" w:cs="Times New Roman"/>
        </w:rPr>
      </w:pPr>
    </w:p>
    <w:p w:rsidR="009D5973" w:rsidRPr="00C66956" w:rsidRDefault="009D5973" w:rsidP="009D5973">
      <w:pPr>
        <w:spacing w:after="0"/>
        <w:rPr>
          <w:rFonts w:ascii="Garamond" w:hAnsi="Garamond" w:cs="Times New Roman"/>
        </w:rPr>
      </w:pPr>
      <w:r w:rsidRPr="00C66956">
        <w:rPr>
          <w:rFonts w:ascii="Garamond" w:hAnsi="Garamond" w:cs="Times New Roman"/>
        </w:rPr>
        <w:t>The Plan</w:t>
      </w:r>
      <w:r w:rsidR="00400E39">
        <w:rPr>
          <w:rFonts w:ascii="Garamond" w:hAnsi="Garamond" w:cs="Times New Roman"/>
        </w:rPr>
        <w:t>s are</w:t>
      </w:r>
      <w:r w:rsidRPr="00C66956">
        <w:rPr>
          <w:rFonts w:ascii="Garamond" w:hAnsi="Garamond" w:cs="Times New Roman"/>
        </w:rPr>
        <w:t xml:space="preserve"> subject to the following regulation(s):</w:t>
      </w:r>
    </w:p>
    <w:p w:rsidR="009D5973" w:rsidRPr="00C66956" w:rsidRDefault="009D5973" w:rsidP="009D5973">
      <w:pPr>
        <w:spacing w:after="0"/>
        <w:rPr>
          <w:rFonts w:ascii="Garamond" w:hAnsi="Garamond" w:cs="Times New Roman"/>
        </w:rPr>
      </w:pPr>
    </w:p>
    <w:p w:rsidR="009D5973" w:rsidRPr="00C66956" w:rsidRDefault="00400E39" w:rsidP="009D5973">
      <w:pPr>
        <w:spacing w:after="0"/>
        <w:rPr>
          <w:rFonts w:ascii="Garamond" w:hAnsi="Garamond" w:cs="Times New Roman"/>
        </w:rPr>
      </w:pPr>
      <w:r>
        <w:rPr>
          <w:rFonts w:ascii="Garamond" w:hAnsi="Garamond" w:cs="Times New Roman"/>
        </w:rPr>
        <w:t>State laws and</w:t>
      </w:r>
      <w:r w:rsidR="009D5973" w:rsidRPr="00C66956">
        <w:rPr>
          <w:rFonts w:ascii="Garamond" w:hAnsi="Garamond" w:cs="Times New Roman"/>
        </w:rPr>
        <w:t xml:space="preserve"> regulations.</w:t>
      </w:r>
    </w:p>
    <w:p w:rsidR="009D5973" w:rsidRPr="00C66956" w:rsidRDefault="009D5973" w:rsidP="009D5973">
      <w:pPr>
        <w:spacing w:after="0"/>
        <w:rPr>
          <w:rFonts w:ascii="Garamond" w:hAnsi="Garamond" w:cs="Times New Roman"/>
        </w:rPr>
      </w:pPr>
    </w:p>
    <w:p w:rsidR="009D5973" w:rsidRPr="00C66956" w:rsidRDefault="009D5973" w:rsidP="00C66956">
      <w:pPr>
        <w:pStyle w:val="Heading1"/>
        <w:numPr>
          <w:ilvl w:val="0"/>
          <w:numId w:val="16"/>
        </w:numPr>
        <w:rPr>
          <w:rFonts w:ascii="Garamond" w:hAnsi="Garamond"/>
        </w:rPr>
      </w:pPr>
      <w:bookmarkStart w:id="32" w:name="_Toc7689750"/>
      <w:r w:rsidRPr="00C66956">
        <w:rPr>
          <w:rFonts w:ascii="Garamond" w:hAnsi="Garamond"/>
        </w:rPr>
        <w:t>Performance Evaluation</w:t>
      </w:r>
      <w:bookmarkEnd w:id="32"/>
    </w:p>
    <w:p w:rsidR="009D5973" w:rsidRPr="00C66956" w:rsidRDefault="009D5973" w:rsidP="009D5973">
      <w:pPr>
        <w:spacing w:after="0"/>
        <w:rPr>
          <w:rFonts w:ascii="Garamond" w:hAnsi="Garamond" w:cs="Times New Roman"/>
        </w:rPr>
      </w:pPr>
    </w:p>
    <w:p w:rsidR="009D5973" w:rsidRPr="00C66956" w:rsidRDefault="00153B2C" w:rsidP="009D5973">
      <w:pPr>
        <w:spacing w:after="0"/>
        <w:rPr>
          <w:rFonts w:ascii="Garamond" w:hAnsi="Garamond" w:cs="Times New Roman"/>
        </w:rPr>
      </w:pPr>
      <w:r w:rsidRPr="00C66956">
        <w:rPr>
          <w:rFonts w:ascii="Garamond" w:hAnsi="Garamond" w:cs="Times New Roman"/>
        </w:rPr>
        <w:t xml:space="preserve">The investment </w:t>
      </w:r>
      <w:r w:rsidR="00884DB1">
        <w:rPr>
          <w:rFonts w:ascii="Garamond" w:hAnsi="Garamond" w:cs="Times New Roman"/>
        </w:rPr>
        <w:t>advisor</w:t>
      </w:r>
      <w:r w:rsidRPr="00C66956">
        <w:rPr>
          <w:rFonts w:ascii="Garamond" w:hAnsi="Garamond" w:cs="Times New Roman"/>
        </w:rPr>
        <w:t xml:space="preserve"> will</w:t>
      </w:r>
      <w:r w:rsidR="009D5973" w:rsidRPr="00C66956">
        <w:rPr>
          <w:rFonts w:ascii="Garamond" w:hAnsi="Garamond" w:cs="Times New Roman"/>
        </w:rPr>
        <w:t xml:space="preserve"> be retained to provide quarterly performance measurement reports and the PBB should monitor the </w:t>
      </w:r>
      <w:r w:rsidR="003373D6" w:rsidRPr="00C66956">
        <w:rPr>
          <w:rFonts w:ascii="Garamond" w:hAnsi="Garamond" w:cs="Times New Roman"/>
        </w:rPr>
        <w:t>Plans’</w:t>
      </w:r>
      <w:r w:rsidR="009D5973" w:rsidRPr="00C66956">
        <w:rPr>
          <w:rFonts w:ascii="Garamond" w:hAnsi="Garamond" w:cs="Times New Roman"/>
        </w:rPr>
        <w:t xml:space="preserve"> performance on a quarterly basis. The PBB </w:t>
      </w:r>
      <w:r w:rsidR="00E12EED" w:rsidRPr="00C66956">
        <w:rPr>
          <w:rFonts w:ascii="Garamond" w:hAnsi="Garamond" w:cs="Times New Roman"/>
        </w:rPr>
        <w:t>will evaluate the Plans’ success in achieving the investment objectives outlined in this IPS over a three- to five-year time horizon and a full market cycle.</w:t>
      </w:r>
    </w:p>
    <w:p w:rsidR="00E12EED" w:rsidRPr="00C66956" w:rsidRDefault="00E12EED" w:rsidP="009D5973">
      <w:pPr>
        <w:spacing w:after="0"/>
        <w:rPr>
          <w:rFonts w:ascii="Garamond" w:hAnsi="Garamond" w:cs="Times New Roman"/>
        </w:rPr>
      </w:pPr>
    </w:p>
    <w:p w:rsidR="00E12EED" w:rsidRPr="00C66956" w:rsidRDefault="00E12EED" w:rsidP="009D5973">
      <w:pPr>
        <w:spacing w:after="0"/>
        <w:rPr>
          <w:rFonts w:ascii="Garamond" w:hAnsi="Garamond" w:cs="Times New Roman"/>
        </w:rPr>
      </w:pPr>
      <w:r w:rsidRPr="00C66956">
        <w:rPr>
          <w:rFonts w:ascii="Garamond" w:hAnsi="Garamond" w:cs="Times New Roman"/>
        </w:rPr>
        <w:t xml:space="preserve">The </w:t>
      </w:r>
      <w:r w:rsidR="003373D6" w:rsidRPr="00C66956">
        <w:rPr>
          <w:rFonts w:ascii="Garamond" w:hAnsi="Garamond" w:cs="Times New Roman"/>
        </w:rPr>
        <w:t>Plans’</w:t>
      </w:r>
      <w:r w:rsidRPr="00C66956">
        <w:rPr>
          <w:rFonts w:ascii="Garamond" w:hAnsi="Garamond" w:cs="Times New Roman"/>
        </w:rPr>
        <w:t xml:space="preserve"> (and investment managers’) performance should be reported in terms of rate of return (time-weighted and dollar-weighted) and changes in dollar value at the time of retention. When select</w:t>
      </w:r>
      <w:r w:rsidR="00400E39">
        <w:rPr>
          <w:rFonts w:ascii="Garamond" w:hAnsi="Garamond" w:cs="Times New Roman"/>
        </w:rPr>
        <w:t>ing an investment manager, the i</w:t>
      </w:r>
      <w:r w:rsidRPr="00C66956">
        <w:rPr>
          <w:rFonts w:ascii="Garamond" w:hAnsi="Garamond" w:cs="Times New Roman"/>
        </w:rPr>
        <w:t xml:space="preserve">nvestment </w:t>
      </w:r>
      <w:r w:rsidR="00400E39">
        <w:rPr>
          <w:rFonts w:ascii="Garamond" w:hAnsi="Garamond" w:cs="Times New Roman"/>
        </w:rPr>
        <w:t>a</w:t>
      </w:r>
      <w:r w:rsidR="00884DB1">
        <w:rPr>
          <w:rFonts w:ascii="Garamond" w:hAnsi="Garamond" w:cs="Times New Roman"/>
        </w:rPr>
        <w:t>dvisor</w:t>
      </w:r>
      <w:r w:rsidRPr="00C66956">
        <w:rPr>
          <w:rFonts w:ascii="Garamond" w:hAnsi="Garamond" w:cs="Times New Roman"/>
        </w:rPr>
        <w:t xml:space="preserve"> will choose the appropriate benchmark(s). The investment managers</w:t>
      </w:r>
      <w:r w:rsidR="00AD1E3C" w:rsidRPr="00C66956">
        <w:rPr>
          <w:rFonts w:ascii="Garamond" w:hAnsi="Garamond" w:cs="Times New Roman"/>
        </w:rPr>
        <w:t xml:space="preserve"> will manage toward those benchmarks. While the benchmarks are not required to be the same as those outlined in the IPS, the performance of the combined investment managers should closely track the IPS benchmark. The returns should be compared to these appropriate market indexes for the most recent quarter and for annual and cumulative prior time periods. The </w:t>
      </w:r>
      <w:r w:rsidR="003373D6" w:rsidRPr="00C66956">
        <w:rPr>
          <w:rFonts w:ascii="Garamond" w:hAnsi="Garamond" w:cs="Times New Roman"/>
        </w:rPr>
        <w:t>Plans’</w:t>
      </w:r>
      <w:r w:rsidR="00AD1E3C" w:rsidRPr="00C66956">
        <w:rPr>
          <w:rFonts w:ascii="Garamond" w:hAnsi="Garamond" w:cs="Times New Roman"/>
        </w:rPr>
        <w:t xml:space="preserve"> asset allocation should also be reported on a quarterly basis.</w:t>
      </w:r>
    </w:p>
    <w:p w:rsidR="00AD1E3C" w:rsidRPr="00C66956" w:rsidRDefault="00AD1E3C" w:rsidP="009D5973">
      <w:pPr>
        <w:spacing w:after="0"/>
        <w:rPr>
          <w:rFonts w:ascii="Garamond" w:hAnsi="Garamond" w:cs="Times New Roman"/>
        </w:rPr>
      </w:pPr>
    </w:p>
    <w:p w:rsidR="00AD1E3C" w:rsidRPr="00C66956" w:rsidRDefault="00AD1E3C" w:rsidP="009D5973">
      <w:pPr>
        <w:spacing w:after="0"/>
        <w:rPr>
          <w:rFonts w:ascii="Garamond" w:hAnsi="Garamond" w:cs="Times New Roman"/>
        </w:rPr>
      </w:pPr>
      <w:r w:rsidRPr="00C66956">
        <w:rPr>
          <w:rFonts w:ascii="Garamond" w:hAnsi="Garamond" w:cs="Times New Roman"/>
        </w:rPr>
        <w:t xml:space="preserve">Risk as measured by volatility, or standard deviation, should be evaluated after twelve months of performance history have accumulated. An attribution analysis should also be performed by the investment advisor to evaluate how much of the </w:t>
      </w:r>
      <w:r w:rsidR="003373D6" w:rsidRPr="00C66956">
        <w:rPr>
          <w:rFonts w:ascii="Garamond" w:hAnsi="Garamond" w:cs="Times New Roman"/>
        </w:rPr>
        <w:t>Plans’</w:t>
      </w:r>
      <w:r w:rsidRPr="00C66956">
        <w:rPr>
          <w:rFonts w:ascii="Garamond" w:hAnsi="Garamond" w:cs="Times New Roman"/>
        </w:rPr>
        <w:t xml:space="preserve"> investment results are due to the investment managers’ investment decisions, as compared to the effect of the financial markets. This analysis will use the </w:t>
      </w:r>
      <w:r w:rsidR="003373D6" w:rsidRPr="00C66956">
        <w:rPr>
          <w:rFonts w:ascii="Garamond" w:hAnsi="Garamond" w:cs="Times New Roman"/>
        </w:rPr>
        <w:t>IPS</w:t>
      </w:r>
      <w:r w:rsidRPr="00C66956">
        <w:rPr>
          <w:rFonts w:ascii="Garamond" w:hAnsi="Garamond" w:cs="Times New Roman"/>
        </w:rPr>
        <w:t xml:space="preserve"> index as the performance benchmark for evaluating both the returns </w:t>
      </w:r>
      <w:r w:rsidR="00F70233" w:rsidRPr="00C66956">
        <w:rPr>
          <w:rFonts w:ascii="Garamond" w:hAnsi="Garamond" w:cs="Times New Roman"/>
        </w:rPr>
        <w:t>achieved and the level of risk taken for the total portfolio and the individual investment managers.</w:t>
      </w:r>
    </w:p>
    <w:p w:rsidR="00F70233" w:rsidRPr="00C66956" w:rsidRDefault="00F70233" w:rsidP="009D5973">
      <w:pPr>
        <w:spacing w:after="0"/>
        <w:rPr>
          <w:rFonts w:ascii="Garamond" w:hAnsi="Garamond" w:cs="Times New Roman"/>
        </w:rPr>
      </w:pPr>
    </w:p>
    <w:p w:rsidR="00F70233" w:rsidRPr="00C66956" w:rsidRDefault="00F70233" w:rsidP="00C66956">
      <w:pPr>
        <w:pStyle w:val="Heading1"/>
        <w:numPr>
          <w:ilvl w:val="0"/>
          <w:numId w:val="16"/>
        </w:numPr>
        <w:rPr>
          <w:rFonts w:ascii="Garamond" w:hAnsi="Garamond"/>
        </w:rPr>
      </w:pPr>
      <w:bookmarkStart w:id="33" w:name="_Toc7689751"/>
      <w:r w:rsidRPr="00C66956">
        <w:rPr>
          <w:rFonts w:ascii="Garamond" w:hAnsi="Garamond"/>
        </w:rPr>
        <w:t>Guidelines for Corrective Action</w:t>
      </w:r>
      <w:bookmarkEnd w:id="33"/>
    </w:p>
    <w:p w:rsidR="00F70233" w:rsidRPr="00C66956" w:rsidRDefault="00F70233" w:rsidP="00F70233">
      <w:pPr>
        <w:spacing w:after="0"/>
        <w:rPr>
          <w:rFonts w:ascii="Garamond" w:hAnsi="Garamond" w:cs="Times New Roman"/>
        </w:rPr>
      </w:pPr>
    </w:p>
    <w:p w:rsidR="00F70233" w:rsidRPr="00C66956" w:rsidRDefault="00400E39" w:rsidP="00F70233">
      <w:pPr>
        <w:spacing w:after="0"/>
        <w:rPr>
          <w:rFonts w:ascii="Garamond" w:hAnsi="Garamond" w:cs="Times New Roman"/>
        </w:rPr>
      </w:pPr>
      <w:r>
        <w:rPr>
          <w:rFonts w:ascii="Garamond" w:hAnsi="Garamond" w:cs="Times New Roman"/>
        </w:rPr>
        <w:t>The i</w:t>
      </w:r>
      <w:r w:rsidR="00F70233" w:rsidRPr="00C66956">
        <w:rPr>
          <w:rFonts w:ascii="Garamond" w:hAnsi="Garamond" w:cs="Times New Roman"/>
        </w:rPr>
        <w:t xml:space="preserve">nvestment </w:t>
      </w:r>
      <w:r>
        <w:rPr>
          <w:rFonts w:ascii="Garamond" w:hAnsi="Garamond" w:cs="Times New Roman"/>
        </w:rPr>
        <w:t>a</w:t>
      </w:r>
      <w:r w:rsidR="00884DB1">
        <w:rPr>
          <w:rFonts w:ascii="Garamond" w:hAnsi="Garamond" w:cs="Times New Roman"/>
        </w:rPr>
        <w:t>dvisor</w:t>
      </w:r>
      <w:r w:rsidR="00F70233" w:rsidRPr="00C66956">
        <w:rPr>
          <w:rFonts w:ascii="Garamond" w:hAnsi="Garamond" w:cs="Times New Roman"/>
        </w:rPr>
        <w:t xml:space="preserve"> shall monitor and evaluate the actions of the investment managers. As part of the process for hiring investment managers, it is recognized that</w:t>
      </w:r>
      <w:r>
        <w:rPr>
          <w:rFonts w:ascii="Garamond" w:hAnsi="Garamond" w:cs="Times New Roman"/>
        </w:rPr>
        <w:t xml:space="preserve"> there is</w:t>
      </w:r>
      <w:r w:rsidR="00F70233" w:rsidRPr="00C66956">
        <w:rPr>
          <w:rFonts w:ascii="Garamond" w:hAnsi="Garamond" w:cs="Times New Roman"/>
        </w:rPr>
        <w:t xml:space="preserve"> the potential for performance over </w:t>
      </w:r>
      <w:r w:rsidR="00F70233" w:rsidRPr="00C66956">
        <w:rPr>
          <w:rFonts w:ascii="Garamond" w:hAnsi="Garamond" w:cs="Times New Roman"/>
        </w:rPr>
        <w:lastRenderedPageBreak/>
        <w:t>short-term periods to deviate from the performance of representative market indexes</w:t>
      </w:r>
      <w:r>
        <w:rPr>
          <w:rFonts w:ascii="Garamond" w:hAnsi="Garamond" w:cs="Times New Roman"/>
        </w:rPr>
        <w:t>. A</w:t>
      </w:r>
      <w:r w:rsidR="00F70233" w:rsidRPr="00C66956">
        <w:rPr>
          <w:rFonts w:ascii="Garamond" w:hAnsi="Garamond" w:cs="Times New Roman"/>
        </w:rPr>
        <w:t>s a general rule</w:t>
      </w:r>
      <w:r>
        <w:rPr>
          <w:rFonts w:ascii="Garamond" w:hAnsi="Garamond" w:cs="Times New Roman"/>
        </w:rPr>
        <w:t xml:space="preserve">, </w:t>
      </w:r>
      <w:r w:rsidR="00F70233" w:rsidRPr="00C66956">
        <w:rPr>
          <w:rFonts w:ascii="Garamond" w:hAnsi="Garamond" w:cs="Times New Roman"/>
        </w:rPr>
        <w:t xml:space="preserve">an investment manager </w:t>
      </w:r>
      <w:r>
        <w:rPr>
          <w:rFonts w:ascii="Garamond" w:hAnsi="Garamond" w:cs="Times New Roman"/>
        </w:rPr>
        <w:t xml:space="preserve">will not be terminated </w:t>
      </w:r>
      <w:r w:rsidR="00F70233" w:rsidRPr="00C66956">
        <w:rPr>
          <w:rFonts w:ascii="Garamond" w:hAnsi="Garamond" w:cs="Times New Roman"/>
        </w:rPr>
        <w:t>on the basis of short-term performance if the investment manager is sound and is adhering to it</w:t>
      </w:r>
      <w:r>
        <w:rPr>
          <w:rFonts w:ascii="Garamond" w:hAnsi="Garamond" w:cs="Times New Roman"/>
        </w:rPr>
        <w:t>s investment style and approach. A</w:t>
      </w:r>
      <w:r w:rsidR="00F70233" w:rsidRPr="00C66956">
        <w:rPr>
          <w:rFonts w:ascii="Garamond" w:hAnsi="Garamond" w:cs="Times New Roman"/>
        </w:rPr>
        <w:t xml:space="preserve"> sufficient interval of time shall be allowed to evaluate</w:t>
      </w:r>
      <w:r>
        <w:rPr>
          <w:rFonts w:ascii="Garamond" w:hAnsi="Garamond" w:cs="Times New Roman"/>
        </w:rPr>
        <w:t xml:space="preserve"> performance,</w:t>
      </w:r>
      <w:r w:rsidR="00F70233" w:rsidRPr="00C66956">
        <w:rPr>
          <w:rFonts w:ascii="Garamond" w:hAnsi="Garamond" w:cs="Times New Roman"/>
        </w:rPr>
        <w:t xml:space="preserve"> keeping in mind at all times the Plans’ diversification strategy as well as the overall quality of the rel</w:t>
      </w:r>
      <w:r>
        <w:rPr>
          <w:rFonts w:ascii="Garamond" w:hAnsi="Garamond" w:cs="Times New Roman"/>
        </w:rPr>
        <w:t>ationship. The investment manager will be overseen by the i</w:t>
      </w:r>
      <w:r w:rsidR="00F70233" w:rsidRPr="00C66956">
        <w:rPr>
          <w:rFonts w:ascii="Garamond" w:hAnsi="Garamond" w:cs="Times New Roman"/>
        </w:rPr>
        <w:t xml:space="preserve">nvestment </w:t>
      </w:r>
      <w:r>
        <w:rPr>
          <w:rFonts w:ascii="Garamond" w:hAnsi="Garamond" w:cs="Times New Roman"/>
        </w:rPr>
        <w:t>a</w:t>
      </w:r>
      <w:r w:rsidR="00884DB1">
        <w:rPr>
          <w:rFonts w:ascii="Garamond" w:hAnsi="Garamond" w:cs="Times New Roman"/>
        </w:rPr>
        <w:t>dvisor</w:t>
      </w:r>
      <w:r w:rsidR="00F70233" w:rsidRPr="00C66956">
        <w:rPr>
          <w:rFonts w:ascii="Garamond" w:hAnsi="Garamond" w:cs="Times New Roman"/>
        </w:rPr>
        <w:t xml:space="preserve"> and may require an extra level of scrutiny, or consider</w:t>
      </w:r>
      <w:r>
        <w:rPr>
          <w:rFonts w:ascii="Garamond" w:hAnsi="Garamond" w:cs="Times New Roman"/>
        </w:rPr>
        <w:t>ation of</w:t>
      </w:r>
      <w:r w:rsidR="00F70233" w:rsidRPr="00C66956">
        <w:rPr>
          <w:rFonts w:ascii="Garamond" w:hAnsi="Garamond" w:cs="Times New Roman"/>
        </w:rPr>
        <w:t xml:space="preserve"> termi</w:t>
      </w:r>
      <w:r>
        <w:rPr>
          <w:rFonts w:ascii="Garamond" w:hAnsi="Garamond" w:cs="Times New Roman"/>
        </w:rPr>
        <w:t>nation,</w:t>
      </w:r>
      <w:r w:rsidR="00F70233" w:rsidRPr="00C66956">
        <w:rPr>
          <w:rFonts w:ascii="Garamond" w:hAnsi="Garamond" w:cs="Times New Roman"/>
        </w:rPr>
        <w:t xml:space="preserve"> based on factors such as:</w:t>
      </w:r>
    </w:p>
    <w:p w:rsidR="00F70233" w:rsidRPr="00C66956" w:rsidRDefault="003A5AFC" w:rsidP="00F70233">
      <w:pPr>
        <w:pStyle w:val="ListParagraph"/>
        <w:numPr>
          <w:ilvl w:val="0"/>
          <w:numId w:val="12"/>
        </w:numPr>
        <w:spacing w:after="0"/>
        <w:rPr>
          <w:rFonts w:ascii="Garamond" w:hAnsi="Garamond" w:cs="Times New Roman"/>
        </w:rPr>
      </w:pPr>
      <w:r w:rsidRPr="00C66956">
        <w:rPr>
          <w:rFonts w:ascii="Garamond" w:hAnsi="Garamond" w:cs="Times New Roman"/>
        </w:rPr>
        <w:t>Any material event that affects the ownership or capital structure of the investment management firm, or the management of this account;</w:t>
      </w:r>
    </w:p>
    <w:p w:rsidR="003A5AFC" w:rsidRPr="00C66956" w:rsidRDefault="003A5AFC" w:rsidP="00F70233">
      <w:pPr>
        <w:pStyle w:val="ListParagraph"/>
        <w:numPr>
          <w:ilvl w:val="0"/>
          <w:numId w:val="12"/>
        </w:numPr>
        <w:spacing w:after="0"/>
        <w:rPr>
          <w:rFonts w:ascii="Garamond" w:hAnsi="Garamond" w:cs="Times New Roman"/>
        </w:rPr>
      </w:pPr>
      <w:r w:rsidRPr="00C66956">
        <w:rPr>
          <w:rFonts w:ascii="Garamond" w:hAnsi="Garamond" w:cs="Times New Roman"/>
        </w:rPr>
        <w:t>Any legal or regulatory a</w:t>
      </w:r>
      <w:r w:rsidR="00E55649" w:rsidRPr="00C66956">
        <w:rPr>
          <w:rFonts w:ascii="Garamond" w:hAnsi="Garamond" w:cs="Times New Roman"/>
        </w:rPr>
        <w:t>ction taken against the manager;</w:t>
      </w:r>
    </w:p>
    <w:p w:rsidR="003A5AFC" w:rsidRPr="00C66956" w:rsidRDefault="003A5AFC" w:rsidP="00F70233">
      <w:pPr>
        <w:pStyle w:val="ListParagraph"/>
        <w:numPr>
          <w:ilvl w:val="0"/>
          <w:numId w:val="12"/>
        </w:numPr>
        <w:spacing w:after="0"/>
        <w:rPr>
          <w:rFonts w:ascii="Garamond" w:hAnsi="Garamond" w:cs="Times New Roman"/>
        </w:rPr>
      </w:pPr>
      <w:r w:rsidRPr="00C66956">
        <w:rPr>
          <w:rFonts w:ascii="Garamond" w:hAnsi="Garamond" w:cs="Times New Roman"/>
        </w:rPr>
        <w:t>Any material servicing deficiencies, including a failure to communicate</w:t>
      </w:r>
      <w:r w:rsidR="00400E39">
        <w:rPr>
          <w:rFonts w:ascii="Garamond" w:hAnsi="Garamond" w:cs="Times New Roman"/>
        </w:rPr>
        <w:t xml:space="preserve"> significant changes</w:t>
      </w:r>
      <w:r w:rsidRPr="00C66956">
        <w:rPr>
          <w:rFonts w:ascii="Garamond" w:hAnsi="Garamond" w:cs="Times New Roman"/>
        </w:rPr>
        <w:t xml:space="preserve"> in a timely </w:t>
      </w:r>
      <w:r w:rsidR="00400E39">
        <w:rPr>
          <w:rFonts w:ascii="Garamond" w:hAnsi="Garamond" w:cs="Times New Roman"/>
        </w:rPr>
        <w:t>fashion</w:t>
      </w:r>
      <w:r w:rsidRPr="00C66956">
        <w:rPr>
          <w:rFonts w:ascii="Garamond" w:hAnsi="Garamond" w:cs="Times New Roman"/>
        </w:rPr>
        <w:t>;</w:t>
      </w:r>
    </w:p>
    <w:p w:rsidR="003A5AFC" w:rsidRPr="00C66956" w:rsidRDefault="003A5AFC" w:rsidP="00F70233">
      <w:pPr>
        <w:pStyle w:val="ListParagraph"/>
        <w:numPr>
          <w:ilvl w:val="0"/>
          <w:numId w:val="12"/>
        </w:numPr>
        <w:spacing w:after="0"/>
        <w:rPr>
          <w:rFonts w:ascii="Garamond" w:hAnsi="Garamond" w:cs="Times New Roman"/>
        </w:rPr>
      </w:pPr>
      <w:r w:rsidRPr="00C66956">
        <w:rPr>
          <w:rFonts w:ascii="Garamond" w:hAnsi="Garamond" w:cs="Times New Roman"/>
        </w:rPr>
        <w:t>Violation of the terms of the contract or changes to agreed upon services without prior written approval of the PBB;</w:t>
      </w:r>
    </w:p>
    <w:p w:rsidR="003A5AFC" w:rsidRPr="00C66956" w:rsidRDefault="003A5AFC" w:rsidP="00F70233">
      <w:pPr>
        <w:pStyle w:val="ListParagraph"/>
        <w:numPr>
          <w:ilvl w:val="0"/>
          <w:numId w:val="12"/>
        </w:numPr>
        <w:spacing w:after="0"/>
        <w:rPr>
          <w:rFonts w:ascii="Garamond" w:hAnsi="Garamond" w:cs="Times New Roman"/>
        </w:rPr>
      </w:pPr>
      <w:r w:rsidRPr="00C66956">
        <w:rPr>
          <w:rFonts w:ascii="Garamond" w:hAnsi="Garamond" w:cs="Times New Roman"/>
        </w:rPr>
        <w:t>Significant style drift from the intended investment style that the manager was engaged to implement;</w:t>
      </w:r>
    </w:p>
    <w:p w:rsidR="003A5AFC" w:rsidRPr="00C66956" w:rsidRDefault="003A5AFC" w:rsidP="00F70233">
      <w:pPr>
        <w:pStyle w:val="ListParagraph"/>
        <w:numPr>
          <w:ilvl w:val="0"/>
          <w:numId w:val="12"/>
        </w:numPr>
        <w:spacing w:after="0"/>
        <w:rPr>
          <w:rFonts w:ascii="Garamond" w:hAnsi="Garamond" w:cs="Times New Roman"/>
        </w:rPr>
      </w:pPr>
      <w:r w:rsidRPr="00C66956">
        <w:rPr>
          <w:rFonts w:ascii="Garamond" w:hAnsi="Garamond" w:cs="Times New Roman"/>
        </w:rPr>
        <w:t>Lack of diversification.</w:t>
      </w:r>
    </w:p>
    <w:p w:rsidR="003A5AFC" w:rsidRPr="00C66956" w:rsidRDefault="003A5AFC" w:rsidP="003A5AFC">
      <w:pPr>
        <w:spacing w:after="0"/>
        <w:rPr>
          <w:rFonts w:ascii="Garamond" w:hAnsi="Garamond" w:cs="Times New Roman"/>
        </w:rPr>
      </w:pPr>
    </w:p>
    <w:p w:rsidR="003A5AFC" w:rsidRPr="00C66956" w:rsidRDefault="003A5AFC" w:rsidP="003A5AFC">
      <w:pPr>
        <w:spacing w:after="0"/>
        <w:rPr>
          <w:rFonts w:ascii="Garamond" w:hAnsi="Garamond" w:cs="Times New Roman"/>
        </w:rPr>
      </w:pPr>
      <w:r w:rsidRPr="00C66956">
        <w:rPr>
          <w:rFonts w:ascii="Garamond" w:hAnsi="Garamond" w:cs="Times New Roman"/>
        </w:rPr>
        <w:t>The investment manager may be replaced at any time as part of an overall restructuring of the portfolio or any other reason whatsoever.</w:t>
      </w:r>
    </w:p>
    <w:p w:rsidR="003A5AFC" w:rsidRPr="00C66956" w:rsidRDefault="003A5AFC" w:rsidP="003A5AFC">
      <w:pPr>
        <w:spacing w:after="0"/>
        <w:rPr>
          <w:rFonts w:ascii="Garamond" w:hAnsi="Garamond" w:cs="Times New Roman"/>
        </w:rPr>
      </w:pPr>
    </w:p>
    <w:p w:rsidR="003A5AFC" w:rsidRPr="00C66956" w:rsidRDefault="003A5AFC" w:rsidP="006F78A9">
      <w:pPr>
        <w:pStyle w:val="Heading2"/>
        <w:rPr>
          <w:rFonts w:ascii="Garamond" w:hAnsi="Garamond"/>
        </w:rPr>
      </w:pPr>
      <w:bookmarkStart w:id="34" w:name="_Toc7689752"/>
      <w:r w:rsidRPr="00C66956">
        <w:rPr>
          <w:rFonts w:ascii="Garamond" w:hAnsi="Garamond"/>
        </w:rPr>
        <w:t>Investment Manager Watch List</w:t>
      </w:r>
      <w:bookmarkEnd w:id="34"/>
    </w:p>
    <w:p w:rsidR="003A5AFC" w:rsidRPr="00C66956" w:rsidRDefault="003A5AFC" w:rsidP="003A5AFC">
      <w:pPr>
        <w:spacing w:after="0"/>
        <w:rPr>
          <w:rFonts w:ascii="Garamond" w:hAnsi="Garamond" w:cs="Times New Roman"/>
        </w:rPr>
      </w:pPr>
      <w:r w:rsidRPr="00C66956">
        <w:rPr>
          <w:rFonts w:ascii="Garamond" w:hAnsi="Garamond" w:cs="Times New Roman"/>
        </w:rPr>
        <w:t>As part of the ongoing monitoring noted in “Guidelines for Corrective Actions,” it may be necessary to place a manager on “Watch.” This will give PBB members notice that an investment manager is not performing as expected and corrective action will be mandated. The horizon for reviewing the performance of an investment manage</w:t>
      </w:r>
      <w:r w:rsidR="00A701E0" w:rsidRPr="00C66956">
        <w:rPr>
          <w:rFonts w:ascii="Garamond" w:hAnsi="Garamond" w:cs="Times New Roman"/>
        </w:rPr>
        <w:t>r is long-term – defined as three</w:t>
      </w:r>
      <w:r w:rsidRPr="00C66956">
        <w:rPr>
          <w:rFonts w:ascii="Garamond" w:hAnsi="Garamond" w:cs="Times New Roman"/>
        </w:rPr>
        <w:t xml:space="preserve"> </w:t>
      </w:r>
      <w:r w:rsidR="00A701E0" w:rsidRPr="00C66956">
        <w:rPr>
          <w:rFonts w:ascii="Garamond" w:hAnsi="Garamond" w:cs="Times New Roman"/>
        </w:rPr>
        <w:t>to five</w:t>
      </w:r>
      <w:r w:rsidRPr="00C66956">
        <w:rPr>
          <w:rFonts w:ascii="Garamond" w:hAnsi="Garamond" w:cs="Times New Roman"/>
        </w:rPr>
        <w:t xml:space="preserve"> year</w:t>
      </w:r>
      <w:r w:rsidR="00A701E0" w:rsidRPr="00C66956">
        <w:rPr>
          <w:rFonts w:ascii="Garamond" w:hAnsi="Garamond" w:cs="Times New Roman"/>
        </w:rPr>
        <w:t>s</w:t>
      </w:r>
      <w:r w:rsidRPr="00C66956">
        <w:rPr>
          <w:rFonts w:ascii="Garamond" w:hAnsi="Garamond" w:cs="Times New Roman"/>
        </w:rPr>
        <w:t>. Periodically, it may be necessary to place an investment man</w:t>
      </w:r>
      <w:r w:rsidR="003373D6" w:rsidRPr="00C66956">
        <w:rPr>
          <w:rFonts w:ascii="Garamond" w:hAnsi="Garamond" w:cs="Times New Roman"/>
        </w:rPr>
        <w:t>ager on the “Watch List.” Should</w:t>
      </w:r>
      <w:r w:rsidRPr="00C66956">
        <w:rPr>
          <w:rFonts w:ascii="Garamond" w:hAnsi="Garamond" w:cs="Times New Roman"/>
        </w:rPr>
        <w:t xml:space="preserve"> any of the </w:t>
      </w:r>
      <w:r w:rsidR="00400E39">
        <w:rPr>
          <w:rFonts w:ascii="Garamond" w:hAnsi="Garamond" w:cs="Times New Roman"/>
        </w:rPr>
        <w:t>following conditions occur the investment a</w:t>
      </w:r>
      <w:r w:rsidRPr="00C66956">
        <w:rPr>
          <w:rFonts w:ascii="Garamond" w:hAnsi="Garamond" w:cs="Times New Roman"/>
        </w:rPr>
        <w:t>dvisor shall place a manger on the Watch List an</w:t>
      </w:r>
      <w:r w:rsidR="00E55649" w:rsidRPr="00C66956">
        <w:rPr>
          <w:rFonts w:ascii="Garamond" w:hAnsi="Garamond" w:cs="Times New Roman"/>
        </w:rPr>
        <w:t>d</w:t>
      </w:r>
      <w:r w:rsidRPr="00C66956">
        <w:rPr>
          <w:rFonts w:ascii="Garamond" w:hAnsi="Garamond" w:cs="Times New Roman"/>
        </w:rPr>
        <w:t xml:space="preserve"> notify the PBB at the next regularly scheduled board </w:t>
      </w:r>
      <w:proofErr w:type="gramStart"/>
      <w:r w:rsidRPr="00C66956">
        <w:rPr>
          <w:rFonts w:ascii="Garamond" w:hAnsi="Garamond" w:cs="Times New Roman"/>
        </w:rPr>
        <w:t>meeting:</w:t>
      </w:r>
      <w:proofErr w:type="gramEnd"/>
    </w:p>
    <w:p w:rsidR="003A5AFC" w:rsidRPr="00C66956" w:rsidRDefault="003A5AFC" w:rsidP="003A5AFC">
      <w:pPr>
        <w:spacing w:after="0"/>
        <w:rPr>
          <w:rFonts w:ascii="Garamond" w:hAnsi="Garamond" w:cs="Times New Roman"/>
        </w:rPr>
      </w:pPr>
    </w:p>
    <w:p w:rsidR="003A5AFC" w:rsidRPr="00C66956" w:rsidRDefault="003A5AFC" w:rsidP="00400E39">
      <w:pPr>
        <w:pStyle w:val="ListParagraph"/>
        <w:numPr>
          <w:ilvl w:val="0"/>
          <w:numId w:val="17"/>
        </w:numPr>
        <w:spacing w:after="0"/>
        <w:rPr>
          <w:rFonts w:ascii="Garamond" w:hAnsi="Garamond" w:cs="Times New Roman"/>
        </w:rPr>
      </w:pPr>
      <w:r w:rsidRPr="00C66956">
        <w:rPr>
          <w:rFonts w:ascii="Garamond" w:hAnsi="Garamond" w:cs="Times New Roman"/>
        </w:rPr>
        <w:t>The investment manager significantly under-performs its benchmark;</w:t>
      </w:r>
    </w:p>
    <w:p w:rsidR="003A5AFC" w:rsidRPr="00C66956" w:rsidRDefault="003A5AFC" w:rsidP="00400E39">
      <w:pPr>
        <w:pStyle w:val="ListParagraph"/>
        <w:numPr>
          <w:ilvl w:val="0"/>
          <w:numId w:val="17"/>
        </w:numPr>
        <w:spacing w:after="0"/>
        <w:rPr>
          <w:rFonts w:ascii="Garamond" w:hAnsi="Garamond" w:cs="Times New Roman"/>
        </w:rPr>
      </w:pPr>
      <w:r w:rsidRPr="00C66956">
        <w:rPr>
          <w:rFonts w:ascii="Garamond" w:hAnsi="Garamond" w:cs="Times New Roman"/>
        </w:rPr>
        <w:t>The investment manager experiences turnover of key member</w:t>
      </w:r>
      <w:r w:rsidR="00E37245" w:rsidRPr="00C66956">
        <w:rPr>
          <w:rFonts w:ascii="Garamond" w:hAnsi="Garamond" w:cs="Times New Roman"/>
        </w:rPr>
        <w:t>s of its investment professional staff;</w:t>
      </w:r>
    </w:p>
    <w:p w:rsidR="00E37245" w:rsidRPr="00C66956" w:rsidRDefault="00E37245" w:rsidP="00400E39">
      <w:pPr>
        <w:pStyle w:val="ListParagraph"/>
        <w:numPr>
          <w:ilvl w:val="0"/>
          <w:numId w:val="17"/>
        </w:numPr>
        <w:spacing w:after="0"/>
        <w:rPr>
          <w:rFonts w:ascii="Garamond" w:hAnsi="Garamond" w:cs="Times New Roman"/>
        </w:rPr>
      </w:pPr>
      <w:r w:rsidRPr="00C66956">
        <w:rPr>
          <w:rFonts w:ascii="Garamond" w:hAnsi="Garamond" w:cs="Times New Roman"/>
        </w:rPr>
        <w:t xml:space="preserve">The Investment </w:t>
      </w:r>
      <w:r w:rsidR="00884DB1">
        <w:rPr>
          <w:rFonts w:ascii="Garamond" w:hAnsi="Garamond" w:cs="Times New Roman"/>
        </w:rPr>
        <w:t>Advisor</w:t>
      </w:r>
      <w:r w:rsidRPr="00C66956">
        <w:rPr>
          <w:rFonts w:ascii="Garamond" w:hAnsi="Garamond" w:cs="Times New Roman"/>
        </w:rPr>
        <w:t xml:space="preserve"> becomes aware of a significant event affecting the investment manager (such as, but not limited to, a change of control, significant negative underperformance relative to its benchmark during any quarter, significant loss of assets under management, the disclosure of SEC or other federal investigations or inquiries into the money manager’s operations); or</w:t>
      </w:r>
    </w:p>
    <w:p w:rsidR="00E37245" w:rsidRPr="00C66956" w:rsidRDefault="00E37245" w:rsidP="00400E39">
      <w:pPr>
        <w:pStyle w:val="ListParagraph"/>
        <w:numPr>
          <w:ilvl w:val="0"/>
          <w:numId w:val="17"/>
        </w:numPr>
        <w:spacing w:after="0"/>
        <w:rPr>
          <w:rFonts w:ascii="Garamond" w:hAnsi="Garamond" w:cs="Times New Roman"/>
        </w:rPr>
      </w:pPr>
      <w:r w:rsidRPr="00C66956">
        <w:rPr>
          <w:rFonts w:ascii="Garamond" w:hAnsi="Garamond" w:cs="Times New Roman"/>
        </w:rPr>
        <w:t>Any other event that could affect the investment manger’s ability to perform its investment management responsibilities for the PBB.</w:t>
      </w:r>
    </w:p>
    <w:p w:rsidR="00E37245" w:rsidRPr="00C66956" w:rsidRDefault="00E37245" w:rsidP="00E37245">
      <w:pPr>
        <w:spacing w:after="0"/>
        <w:rPr>
          <w:rFonts w:ascii="Garamond" w:hAnsi="Garamond" w:cs="Times New Roman"/>
        </w:rPr>
      </w:pPr>
    </w:p>
    <w:p w:rsidR="00E37245" w:rsidRPr="00C66956" w:rsidRDefault="00E37245" w:rsidP="00E37245">
      <w:pPr>
        <w:spacing w:after="0"/>
        <w:rPr>
          <w:rFonts w:ascii="Garamond" w:hAnsi="Garamond" w:cs="Times New Roman"/>
        </w:rPr>
      </w:pPr>
      <w:r w:rsidRPr="00C66956">
        <w:rPr>
          <w:rFonts w:ascii="Garamond" w:hAnsi="Garamond" w:cs="Times New Roman"/>
        </w:rPr>
        <w:t>Once a manager is on the Watch List a</w:t>
      </w:r>
      <w:r w:rsidR="00513722">
        <w:rPr>
          <w:rFonts w:ascii="Garamond" w:hAnsi="Garamond" w:cs="Times New Roman"/>
        </w:rPr>
        <w:t>n update shall be given by the i</w:t>
      </w:r>
      <w:r w:rsidRPr="00C66956">
        <w:rPr>
          <w:rFonts w:ascii="Garamond" w:hAnsi="Garamond" w:cs="Times New Roman"/>
        </w:rPr>
        <w:t xml:space="preserve">nvestment </w:t>
      </w:r>
      <w:r w:rsidR="00513722">
        <w:rPr>
          <w:rFonts w:ascii="Garamond" w:hAnsi="Garamond" w:cs="Times New Roman"/>
        </w:rPr>
        <w:t>a</w:t>
      </w:r>
      <w:r w:rsidR="00884DB1">
        <w:rPr>
          <w:rFonts w:ascii="Garamond" w:hAnsi="Garamond" w:cs="Times New Roman"/>
        </w:rPr>
        <w:t>dvisor</w:t>
      </w:r>
      <w:r w:rsidRPr="00C66956">
        <w:rPr>
          <w:rFonts w:ascii="Garamond" w:hAnsi="Garamond" w:cs="Times New Roman"/>
        </w:rPr>
        <w:t xml:space="preserve"> on a quarterly basis. An investment manager shall be taken off of the Watch List if the matter that originally placed them on watch has been remedied or through </w:t>
      </w:r>
      <w:r w:rsidR="00C66956">
        <w:rPr>
          <w:rFonts w:ascii="Garamond" w:hAnsi="Garamond" w:cs="Times New Roman"/>
        </w:rPr>
        <w:t>termination of the relationship.</w:t>
      </w:r>
    </w:p>
    <w:p w:rsidR="00E37245" w:rsidRPr="00C66956" w:rsidRDefault="00E37245" w:rsidP="00C66956">
      <w:pPr>
        <w:pStyle w:val="Heading1"/>
        <w:numPr>
          <w:ilvl w:val="0"/>
          <w:numId w:val="16"/>
        </w:numPr>
        <w:rPr>
          <w:rFonts w:ascii="Garamond" w:hAnsi="Garamond"/>
        </w:rPr>
      </w:pPr>
      <w:bookmarkStart w:id="35" w:name="_Toc7689753"/>
      <w:r w:rsidRPr="00C66956">
        <w:rPr>
          <w:rFonts w:ascii="Garamond" w:hAnsi="Garamond"/>
        </w:rPr>
        <w:lastRenderedPageBreak/>
        <w:t>Meetings and Communications</w:t>
      </w:r>
      <w:bookmarkEnd w:id="35"/>
    </w:p>
    <w:p w:rsidR="00E37245" w:rsidRPr="00C66956" w:rsidRDefault="00E37245" w:rsidP="00E37245">
      <w:pPr>
        <w:spacing w:after="0"/>
        <w:rPr>
          <w:rFonts w:ascii="Garamond" w:hAnsi="Garamond" w:cs="Times New Roman"/>
        </w:rPr>
      </w:pPr>
    </w:p>
    <w:p w:rsidR="00E37245" w:rsidRPr="00C66956" w:rsidRDefault="00E37245" w:rsidP="00E37245">
      <w:pPr>
        <w:pStyle w:val="ListParagraph"/>
        <w:numPr>
          <w:ilvl w:val="0"/>
          <w:numId w:val="15"/>
        </w:numPr>
        <w:spacing w:after="0"/>
        <w:rPr>
          <w:rFonts w:ascii="Garamond" w:hAnsi="Garamond" w:cs="Times New Roman"/>
        </w:rPr>
      </w:pPr>
      <w:r w:rsidRPr="00C66956">
        <w:rPr>
          <w:rFonts w:ascii="Garamond" w:hAnsi="Garamond" w:cs="Times New Roman"/>
        </w:rPr>
        <w:t xml:space="preserve">As a matter of course, each investment manager should promptly communicate to </w:t>
      </w:r>
      <w:r w:rsidR="003373D6" w:rsidRPr="00C66956">
        <w:rPr>
          <w:rFonts w:ascii="Garamond" w:hAnsi="Garamond" w:cs="Times New Roman"/>
        </w:rPr>
        <w:t>the Plans’</w:t>
      </w:r>
      <w:r w:rsidRPr="00C66956">
        <w:rPr>
          <w:rFonts w:ascii="Garamond" w:hAnsi="Garamond" w:cs="Times New Roman"/>
        </w:rPr>
        <w:t xml:space="preserve"> investment </w:t>
      </w:r>
      <w:r w:rsidR="00884DB1">
        <w:rPr>
          <w:rFonts w:ascii="Garamond" w:hAnsi="Garamond" w:cs="Times New Roman"/>
        </w:rPr>
        <w:t>advisor</w:t>
      </w:r>
      <w:r w:rsidRPr="00C66956">
        <w:rPr>
          <w:rFonts w:ascii="Garamond" w:hAnsi="Garamond" w:cs="Times New Roman"/>
        </w:rPr>
        <w:t xml:space="preserve"> any material changes in the investment manager’s outlook, investment policy, and tactics.</w:t>
      </w:r>
    </w:p>
    <w:p w:rsidR="00E37245" w:rsidRPr="00C66956" w:rsidRDefault="00E37245" w:rsidP="00E37245">
      <w:pPr>
        <w:pStyle w:val="ListParagraph"/>
        <w:numPr>
          <w:ilvl w:val="0"/>
          <w:numId w:val="15"/>
        </w:numPr>
        <w:spacing w:after="0"/>
        <w:rPr>
          <w:rFonts w:ascii="Garamond" w:hAnsi="Garamond" w:cs="Times New Roman"/>
        </w:rPr>
      </w:pPr>
      <w:r w:rsidRPr="00C66956">
        <w:rPr>
          <w:rFonts w:ascii="Garamond" w:hAnsi="Garamond" w:cs="Times New Roman"/>
        </w:rPr>
        <w:t>Each investment manager should be available on a reasonable basis for telephone communication when needed.</w:t>
      </w:r>
    </w:p>
    <w:p w:rsidR="00E37245" w:rsidRPr="00C66956" w:rsidRDefault="00E37245" w:rsidP="00E37245">
      <w:pPr>
        <w:pStyle w:val="ListParagraph"/>
        <w:numPr>
          <w:ilvl w:val="0"/>
          <w:numId w:val="15"/>
        </w:numPr>
        <w:spacing w:after="0"/>
        <w:rPr>
          <w:rFonts w:ascii="Garamond" w:hAnsi="Garamond" w:cs="Times New Roman"/>
        </w:rPr>
      </w:pPr>
      <w:r w:rsidRPr="00C66956">
        <w:rPr>
          <w:rFonts w:ascii="Garamond" w:hAnsi="Garamond" w:cs="Times New Roman"/>
        </w:rPr>
        <w:t>Any material even</w:t>
      </w:r>
      <w:r w:rsidR="00513722">
        <w:rPr>
          <w:rFonts w:ascii="Garamond" w:hAnsi="Garamond" w:cs="Times New Roman"/>
        </w:rPr>
        <w:t>t</w:t>
      </w:r>
      <w:r w:rsidRPr="00C66956">
        <w:rPr>
          <w:rFonts w:ascii="Garamond" w:hAnsi="Garamond" w:cs="Times New Roman"/>
        </w:rPr>
        <w:t xml:space="preserve"> that affects the ownership of each investment management firm, any brokerage affiliation of such firm, its key investment personnel, or its management must be reported promptly to the </w:t>
      </w:r>
      <w:r w:rsidR="003373D6" w:rsidRPr="00C66956">
        <w:rPr>
          <w:rFonts w:ascii="Garamond" w:hAnsi="Garamond" w:cs="Times New Roman"/>
        </w:rPr>
        <w:t>Plans’</w:t>
      </w:r>
      <w:r w:rsidRPr="00C66956">
        <w:rPr>
          <w:rFonts w:ascii="Garamond" w:hAnsi="Garamond" w:cs="Times New Roman"/>
        </w:rPr>
        <w:t xml:space="preserve"> investment </w:t>
      </w:r>
      <w:r w:rsidR="00884DB1">
        <w:rPr>
          <w:rFonts w:ascii="Garamond" w:hAnsi="Garamond" w:cs="Times New Roman"/>
        </w:rPr>
        <w:t>advisor</w:t>
      </w:r>
      <w:r w:rsidR="00114097" w:rsidRPr="00C66956">
        <w:rPr>
          <w:rFonts w:ascii="Garamond" w:hAnsi="Garamond" w:cs="Times New Roman"/>
        </w:rPr>
        <w:t xml:space="preserve"> and reported to the PBB by the investment </w:t>
      </w:r>
      <w:r w:rsidR="00884DB1">
        <w:rPr>
          <w:rFonts w:ascii="Garamond" w:hAnsi="Garamond" w:cs="Times New Roman"/>
        </w:rPr>
        <w:t>advisor</w:t>
      </w:r>
      <w:r w:rsidR="00114097" w:rsidRPr="00C66956">
        <w:rPr>
          <w:rFonts w:ascii="Garamond" w:hAnsi="Garamond" w:cs="Times New Roman"/>
        </w:rPr>
        <w:t>.</w:t>
      </w:r>
    </w:p>
    <w:p w:rsidR="00114097" w:rsidRPr="00C66956" w:rsidRDefault="00513722" w:rsidP="00E37245">
      <w:pPr>
        <w:pStyle w:val="ListParagraph"/>
        <w:numPr>
          <w:ilvl w:val="0"/>
          <w:numId w:val="15"/>
        </w:numPr>
        <w:spacing w:after="0"/>
        <w:rPr>
          <w:rFonts w:ascii="Garamond" w:hAnsi="Garamond" w:cs="Times New Roman"/>
        </w:rPr>
      </w:pPr>
      <w:r>
        <w:rPr>
          <w:rFonts w:ascii="Garamond" w:hAnsi="Garamond" w:cs="Times New Roman"/>
        </w:rPr>
        <w:t>The PBB</w:t>
      </w:r>
      <w:r w:rsidR="00114097" w:rsidRPr="00C66956">
        <w:rPr>
          <w:rFonts w:ascii="Garamond" w:hAnsi="Garamond" w:cs="Times New Roman"/>
        </w:rPr>
        <w:t xml:space="preserve"> should obtain and review written pe</w:t>
      </w:r>
      <w:r w:rsidR="00495122" w:rsidRPr="00C66956">
        <w:rPr>
          <w:rFonts w:ascii="Garamond" w:hAnsi="Garamond" w:cs="Times New Roman"/>
        </w:rPr>
        <w:t>rformance measurement reports not</w:t>
      </w:r>
      <w:r w:rsidR="00114097" w:rsidRPr="00C66956">
        <w:rPr>
          <w:rFonts w:ascii="Garamond" w:hAnsi="Garamond" w:cs="Times New Roman"/>
        </w:rPr>
        <w:t xml:space="preserve"> less than quarterly. </w:t>
      </w:r>
    </w:p>
    <w:p w:rsidR="00114097" w:rsidRPr="00C66956" w:rsidRDefault="00114097" w:rsidP="00E37245">
      <w:pPr>
        <w:pStyle w:val="ListParagraph"/>
        <w:numPr>
          <w:ilvl w:val="0"/>
          <w:numId w:val="15"/>
        </w:numPr>
        <w:spacing w:after="0"/>
        <w:rPr>
          <w:rFonts w:ascii="Garamond" w:hAnsi="Garamond" w:cs="Times New Roman"/>
        </w:rPr>
      </w:pPr>
      <w:r w:rsidRPr="00C66956">
        <w:rPr>
          <w:rFonts w:ascii="Garamond" w:hAnsi="Garamond" w:cs="Times New Roman"/>
        </w:rPr>
        <w:t xml:space="preserve">The investment </w:t>
      </w:r>
      <w:r w:rsidR="00884DB1">
        <w:rPr>
          <w:rFonts w:ascii="Garamond" w:hAnsi="Garamond" w:cs="Times New Roman"/>
        </w:rPr>
        <w:t>advisor</w:t>
      </w:r>
      <w:r w:rsidRPr="00C66956">
        <w:rPr>
          <w:rFonts w:ascii="Garamond" w:hAnsi="Garamond" w:cs="Times New Roman"/>
        </w:rPr>
        <w:t xml:space="preserve"> should meet with the PBB in person every three months.</w:t>
      </w:r>
    </w:p>
    <w:p w:rsidR="00114097" w:rsidRPr="00C66956" w:rsidRDefault="00114097" w:rsidP="00114097">
      <w:pPr>
        <w:spacing w:after="0"/>
        <w:rPr>
          <w:rFonts w:ascii="Garamond" w:hAnsi="Garamond" w:cs="Times New Roman"/>
        </w:rPr>
      </w:pPr>
    </w:p>
    <w:p w:rsidR="00114097" w:rsidRPr="00C66956" w:rsidRDefault="003373D6" w:rsidP="00114097">
      <w:pPr>
        <w:spacing w:after="0"/>
        <w:rPr>
          <w:rFonts w:ascii="Garamond" w:hAnsi="Garamond" w:cs="Times New Roman"/>
          <w:i/>
        </w:rPr>
      </w:pPr>
      <w:r w:rsidRPr="00C66956">
        <w:rPr>
          <w:rFonts w:ascii="Garamond" w:hAnsi="Garamond" w:cs="Times New Roman"/>
          <w:i/>
        </w:rPr>
        <w:t>This IPS</w:t>
      </w:r>
      <w:r w:rsidR="00114097" w:rsidRPr="00C66956">
        <w:rPr>
          <w:rFonts w:ascii="Garamond" w:hAnsi="Garamond" w:cs="Times New Roman"/>
          <w:i/>
        </w:rPr>
        <w:t xml:space="preserve"> is intended to be a summary of an investment philosophy that provides guidance for the PBB and other parties responsible for the management of these assets. It is understood that there can be no guarantees about the attainment of the goals or investment objectives outline</w:t>
      </w:r>
      <w:r w:rsidR="00495122" w:rsidRPr="00C66956">
        <w:rPr>
          <w:rFonts w:ascii="Garamond" w:hAnsi="Garamond" w:cs="Times New Roman"/>
          <w:i/>
        </w:rPr>
        <w:t>d</w:t>
      </w:r>
      <w:r w:rsidR="00114097" w:rsidRPr="00C66956">
        <w:rPr>
          <w:rFonts w:ascii="Garamond" w:hAnsi="Garamond" w:cs="Times New Roman"/>
          <w:i/>
        </w:rPr>
        <w:t xml:space="preserve"> here.</w:t>
      </w:r>
    </w:p>
    <w:p w:rsidR="00114097" w:rsidRPr="00C66956" w:rsidRDefault="00114097" w:rsidP="00114097">
      <w:pPr>
        <w:spacing w:after="0"/>
        <w:rPr>
          <w:rFonts w:ascii="Garamond" w:hAnsi="Garamond" w:cs="Times New Roman"/>
        </w:rPr>
      </w:pPr>
    </w:p>
    <w:p w:rsidR="00114097" w:rsidRPr="00C66956" w:rsidRDefault="00114097" w:rsidP="00C66956">
      <w:pPr>
        <w:pStyle w:val="Heading1"/>
        <w:numPr>
          <w:ilvl w:val="0"/>
          <w:numId w:val="16"/>
        </w:numPr>
        <w:rPr>
          <w:rFonts w:ascii="Garamond" w:hAnsi="Garamond"/>
        </w:rPr>
      </w:pPr>
      <w:bookmarkStart w:id="36" w:name="_Toc7689754"/>
      <w:r w:rsidRPr="00C66956">
        <w:rPr>
          <w:rFonts w:ascii="Garamond" w:hAnsi="Garamond"/>
        </w:rPr>
        <w:t>Approval</w:t>
      </w:r>
      <w:bookmarkEnd w:id="36"/>
    </w:p>
    <w:p w:rsidR="00114097" w:rsidRPr="00C66956" w:rsidRDefault="00114097" w:rsidP="00114097">
      <w:pPr>
        <w:spacing w:after="0"/>
        <w:rPr>
          <w:rFonts w:ascii="Garamond" w:hAnsi="Garamond" w:cs="Times New Roman"/>
        </w:rPr>
      </w:pPr>
    </w:p>
    <w:p w:rsidR="00114097" w:rsidRPr="00C66956" w:rsidRDefault="00114097" w:rsidP="00114097">
      <w:pPr>
        <w:spacing w:after="0"/>
        <w:rPr>
          <w:rFonts w:ascii="Garamond" w:hAnsi="Garamond" w:cs="Times New Roman"/>
          <w:i/>
        </w:rPr>
      </w:pPr>
      <w:r w:rsidRPr="00C66956">
        <w:rPr>
          <w:rFonts w:ascii="Garamond" w:hAnsi="Garamond" w:cs="Times New Roman"/>
          <w:i/>
        </w:rPr>
        <w:t>Prior to the approval of the IPS, the PBB should review the IPS, request the Town’s invest</w:t>
      </w:r>
      <w:r w:rsidR="00A701E0" w:rsidRPr="00C66956">
        <w:rPr>
          <w:rFonts w:ascii="Garamond" w:hAnsi="Garamond" w:cs="Times New Roman"/>
          <w:i/>
        </w:rPr>
        <w:t xml:space="preserve">ment </w:t>
      </w:r>
      <w:r w:rsidR="00884DB1">
        <w:rPr>
          <w:rFonts w:ascii="Garamond" w:hAnsi="Garamond" w:cs="Times New Roman"/>
          <w:i/>
        </w:rPr>
        <w:t>advisor</w:t>
      </w:r>
      <w:r w:rsidRPr="00C66956">
        <w:rPr>
          <w:rFonts w:ascii="Garamond" w:hAnsi="Garamond" w:cs="Times New Roman"/>
          <w:i/>
        </w:rPr>
        <w:t xml:space="preserve"> and any other professional review the PBB deems necessary to provide feedback prior to the consideration and approval of the IPS.</w:t>
      </w:r>
    </w:p>
    <w:p w:rsidR="00114097" w:rsidRPr="00C66956" w:rsidRDefault="00114097" w:rsidP="00114097">
      <w:pPr>
        <w:spacing w:after="0"/>
        <w:rPr>
          <w:rFonts w:ascii="Garamond" w:hAnsi="Garamond" w:cs="Times New Roman"/>
          <w:i/>
        </w:rPr>
      </w:pPr>
    </w:p>
    <w:p w:rsidR="00114097" w:rsidRPr="00C66956" w:rsidRDefault="00114097" w:rsidP="00114097">
      <w:pPr>
        <w:spacing w:after="0"/>
        <w:rPr>
          <w:rFonts w:ascii="Garamond" w:hAnsi="Garamond" w:cs="Times New Roman"/>
          <w:i/>
        </w:rPr>
      </w:pPr>
      <w:r w:rsidRPr="00C66956">
        <w:rPr>
          <w:rFonts w:ascii="Garamond" w:hAnsi="Garamond" w:cs="Times New Roman"/>
          <w:i/>
        </w:rPr>
        <w:t xml:space="preserve">These professionals should be called upon by the PBB to check relevant documentation, particularly in the case of trusts or retirement plans or where there are legal constraints or prohibitions that impact the </w:t>
      </w:r>
      <w:r w:rsidR="003373D6" w:rsidRPr="00C66956">
        <w:rPr>
          <w:rFonts w:ascii="Garamond" w:hAnsi="Garamond" w:cs="Times New Roman"/>
          <w:i/>
        </w:rPr>
        <w:t>Plans’</w:t>
      </w:r>
      <w:r w:rsidRPr="00C66956">
        <w:rPr>
          <w:rFonts w:ascii="Garamond" w:hAnsi="Garamond" w:cs="Times New Roman"/>
          <w:i/>
        </w:rPr>
        <w:t xml:space="preserve"> investment portfolio. The review and approval of the IPS is the ultimate responsibility of the PBB. Once approved by the PBB, the IPS should be forwarded </w:t>
      </w:r>
      <w:r w:rsidR="00513722">
        <w:rPr>
          <w:rFonts w:ascii="Garamond" w:hAnsi="Garamond" w:cs="Times New Roman"/>
          <w:i/>
        </w:rPr>
        <w:t>to the Board of Selectme</w:t>
      </w:r>
      <w:r w:rsidRPr="00C66956">
        <w:rPr>
          <w:rFonts w:ascii="Garamond" w:hAnsi="Garamond" w:cs="Times New Roman"/>
          <w:i/>
        </w:rPr>
        <w:t>n for final approval and authorization.</w:t>
      </w:r>
    </w:p>
    <w:p w:rsidR="00114097" w:rsidRPr="00C66956" w:rsidRDefault="00114097" w:rsidP="00114097">
      <w:pPr>
        <w:spacing w:after="0"/>
        <w:rPr>
          <w:rFonts w:ascii="Garamond" w:hAnsi="Garamond" w:cs="Times New Roman"/>
          <w:i/>
        </w:rPr>
      </w:pPr>
    </w:p>
    <w:p w:rsidR="00114097" w:rsidRPr="00C66956" w:rsidRDefault="00114097" w:rsidP="00114097">
      <w:pPr>
        <w:spacing w:after="0"/>
        <w:rPr>
          <w:rFonts w:ascii="Garamond" w:hAnsi="Garamond" w:cs="Times New Roman"/>
          <w:i/>
        </w:rPr>
      </w:pPr>
      <w:r w:rsidRPr="00C66956">
        <w:rPr>
          <w:rFonts w:ascii="Garamond" w:hAnsi="Garamond" w:cs="Times New Roman"/>
          <w:i/>
        </w:rPr>
        <w:t>Upon final a</w:t>
      </w:r>
      <w:r w:rsidR="00513722">
        <w:rPr>
          <w:rFonts w:ascii="Garamond" w:hAnsi="Garamond" w:cs="Times New Roman"/>
          <w:i/>
        </w:rPr>
        <w:t>pproval by the Board of Selectme</w:t>
      </w:r>
      <w:r w:rsidRPr="00C66956">
        <w:rPr>
          <w:rFonts w:ascii="Garamond" w:hAnsi="Garamond" w:cs="Times New Roman"/>
          <w:i/>
        </w:rPr>
        <w:t>n, the IPS should be sent to the Plans’ inve</w:t>
      </w:r>
      <w:r w:rsidR="00513722">
        <w:rPr>
          <w:rFonts w:ascii="Garamond" w:hAnsi="Garamond" w:cs="Times New Roman"/>
          <w:i/>
        </w:rPr>
        <w:t>stment managers. It is the i</w:t>
      </w:r>
      <w:r w:rsidR="00A701E0" w:rsidRPr="00C66956">
        <w:rPr>
          <w:rFonts w:ascii="Garamond" w:hAnsi="Garamond" w:cs="Times New Roman"/>
          <w:i/>
        </w:rPr>
        <w:t>nvestment advisors</w:t>
      </w:r>
      <w:r w:rsidR="00513722">
        <w:rPr>
          <w:rFonts w:ascii="Garamond" w:hAnsi="Garamond" w:cs="Times New Roman"/>
          <w:i/>
        </w:rPr>
        <w:t>’</w:t>
      </w:r>
      <w:r w:rsidRPr="00C66956">
        <w:rPr>
          <w:rFonts w:ascii="Garamond" w:hAnsi="Garamond" w:cs="Times New Roman"/>
          <w:i/>
        </w:rPr>
        <w:t xml:space="preserve"> responsibility to confirm the investment manager’s acceptance of the IPS, and it is the investment manger’s responsibility to adhere to the IPS in managing the Plans’ assets.</w:t>
      </w:r>
    </w:p>
    <w:p w:rsidR="00114097" w:rsidRPr="00C66956" w:rsidRDefault="00114097" w:rsidP="00114097">
      <w:pPr>
        <w:spacing w:after="0"/>
        <w:rPr>
          <w:rFonts w:ascii="Garamond" w:hAnsi="Garamond" w:cs="Times New Roman"/>
          <w:i/>
        </w:rPr>
      </w:pPr>
    </w:p>
    <w:p w:rsidR="00114097" w:rsidRPr="00C66956" w:rsidRDefault="00114097" w:rsidP="00114097">
      <w:pPr>
        <w:spacing w:after="0"/>
        <w:rPr>
          <w:rFonts w:ascii="Garamond" w:hAnsi="Garamond" w:cs="Times New Roman"/>
          <w:i/>
        </w:rPr>
      </w:pPr>
      <w:r w:rsidRPr="00C66956">
        <w:rPr>
          <w:rFonts w:ascii="Garamond" w:hAnsi="Garamond" w:cs="Times New Roman"/>
          <w:i/>
        </w:rPr>
        <w:t>It is under</w:t>
      </w:r>
      <w:r w:rsidR="003373D6" w:rsidRPr="00C66956">
        <w:rPr>
          <w:rFonts w:ascii="Garamond" w:hAnsi="Garamond" w:cs="Times New Roman"/>
          <w:i/>
        </w:rPr>
        <w:t>stood that the IPS</w:t>
      </w:r>
      <w:r w:rsidRPr="00C66956">
        <w:rPr>
          <w:rFonts w:ascii="Garamond" w:hAnsi="Garamond" w:cs="Times New Roman"/>
          <w:i/>
        </w:rPr>
        <w:t xml:space="preserve"> is to be reviewed periodically by the Plan</w:t>
      </w:r>
      <w:r w:rsidR="00513722">
        <w:rPr>
          <w:rFonts w:ascii="Garamond" w:hAnsi="Garamond" w:cs="Times New Roman"/>
          <w:i/>
        </w:rPr>
        <w:t>s</w:t>
      </w:r>
      <w:r w:rsidRPr="00C66956">
        <w:rPr>
          <w:rFonts w:ascii="Garamond" w:hAnsi="Garamond" w:cs="Times New Roman"/>
          <w:i/>
        </w:rPr>
        <w:t xml:space="preserve"> to determine if any revisions are warranted for any reasons including changing circumstances such as, but not limited to, changes in financial status, risk toler</w:t>
      </w:r>
      <w:r w:rsidR="00513722">
        <w:rPr>
          <w:rFonts w:ascii="Garamond" w:hAnsi="Garamond" w:cs="Times New Roman"/>
          <w:i/>
        </w:rPr>
        <w:t>ance, or changes involving the investment m</w:t>
      </w:r>
      <w:r w:rsidRPr="00C66956">
        <w:rPr>
          <w:rFonts w:ascii="Garamond" w:hAnsi="Garamond" w:cs="Times New Roman"/>
          <w:i/>
        </w:rPr>
        <w:t>anagers.</w:t>
      </w:r>
    </w:p>
    <w:p w:rsidR="00CF5C27" w:rsidRPr="00C66956" w:rsidRDefault="00CF5C27" w:rsidP="00114097">
      <w:pPr>
        <w:spacing w:after="0"/>
        <w:rPr>
          <w:rFonts w:ascii="Garamond" w:hAnsi="Garamond" w:cs="Times New Roman"/>
          <w:i/>
        </w:rPr>
      </w:pPr>
    </w:p>
    <w:p w:rsidR="00CF5C27" w:rsidRPr="00C66956" w:rsidRDefault="00CF5C27" w:rsidP="00114097">
      <w:pPr>
        <w:spacing w:after="0"/>
        <w:rPr>
          <w:rFonts w:ascii="Garamond" w:hAnsi="Garamond" w:cs="Times New Roman"/>
          <w:i/>
        </w:rPr>
      </w:pPr>
      <w:r w:rsidRPr="00C66956">
        <w:rPr>
          <w:rFonts w:ascii="Garamond" w:hAnsi="Garamond" w:cs="Times New Roman"/>
          <w:i/>
        </w:rPr>
        <w:t>By:_______________________________</w:t>
      </w:r>
      <w:r w:rsidRPr="00C66956">
        <w:rPr>
          <w:rFonts w:ascii="Garamond" w:hAnsi="Garamond" w:cs="Times New Roman"/>
          <w:i/>
        </w:rPr>
        <w:tab/>
      </w:r>
      <w:r w:rsidRPr="00C66956">
        <w:rPr>
          <w:rFonts w:ascii="Garamond" w:hAnsi="Garamond" w:cs="Times New Roman"/>
          <w:i/>
        </w:rPr>
        <w:tab/>
        <w:t>____________</w:t>
      </w:r>
    </w:p>
    <w:p w:rsidR="00CF5C27" w:rsidRPr="00C66956" w:rsidRDefault="00A701E0" w:rsidP="00114097">
      <w:pPr>
        <w:spacing w:after="0"/>
        <w:rPr>
          <w:rFonts w:ascii="Garamond" w:hAnsi="Garamond" w:cs="Times New Roman"/>
          <w:i/>
        </w:rPr>
      </w:pPr>
      <w:r w:rsidRPr="00C66956">
        <w:rPr>
          <w:rFonts w:ascii="Garamond" w:hAnsi="Garamond" w:cs="Times New Roman"/>
          <w:i/>
        </w:rPr>
        <w:tab/>
        <w:t>Chairperson of the PBB</w:t>
      </w:r>
      <w:r w:rsidR="00CF5C27" w:rsidRPr="00C66956">
        <w:rPr>
          <w:rFonts w:ascii="Garamond" w:hAnsi="Garamond" w:cs="Times New Roman"/>
          <w:i/>
        </w:rPr>
        <w:tab/>
      </w:r>
      <w:r w:rsidR="00CF5C27" w:rsidRPr="00C66956">
        <w:rPr>
          <w:rFonts w:ascii="Garamond" w:hAnsi="Garamond" w:cs="Times New Roman"/>
          <w:i/>
        </w:rPr>
        <w:tab/>
      </w:r>
      <w:r w:rsidR="00CF5C27" w:rsidRPr="00C66956">
        <w:rPr>
          <w:rFonts w:ascii="Garamond" w:hAnsi="Garamond" w:cs="Times New Roman"/>
          <w:i/>
        </w:rPr>
        <w:tab/>
      </w:r>
      <w:r w:rsidR="00513722">
        <w:rPr>
          <w:rFonts w:ascii="Garamond" w:hAnsi="Garamond" w:cs="Times New Roman"/>
          <w:i/>
        </w:rPr>
        <w:tab/>
      </w:r>
      <w:r w:rsidR="00CF5C27" w:rsidRPr="00C66956">
        <w:rPr>
          <w:rFonts w:ascii="Garamond" w:hAnsi="Garamond" w:cs="Times New Roman"/>
          <w:i/>
        </w:rPr>
        <w:t>Date</w:t>
      </w:r>
    </w:p>
    <w:sectPr w:rsidR="00CF5C27" w:rsidRPr="00C6695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F9F" w:rsidRDefault="008A2F9F" w:rsidP="00C66956">
      <w:pPr>
        <w:spacing w:after="0" w:line="240" w:lineRule="auto"/>
      </w:pPr>
      <w:r>
        <w:separator/>
      </w:r>
    </w:p>
  </w:endnote>
  <w:endnote w:type="continuationSeparator" w:id="0">
    <w:p w:rsidR="008A2F9F" w:rsidRDefault="008A2F9F" w:rsidP="00C6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83503"/>
      <w:docPartObj>
        <w:docPartGallery w:val="Page Numbers (Bottom of Page)"/>
        <w:docPartUnique/>
      </w:docPartObj>
    </w:sdtPr>
    <w:sdtEndPr>
      <w:rPr>
        <w:color w:val="808080" w:themeColor="background1" w:themeShade="80"/>
        <w:spacing w:val="60"/>
      </w:rPr>
    </w:sdtEndPr>
    <w:sdtContent>
      <w:p w:rsidR="008A2F9F" w:rsidRDefault="008A2F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76E9">
          <w:rPr>
            <w:noProof/>
          </w:rPr>
          <w:t>4</w:t>
        </w:r>
        <w:r>
          <w:rPr>
            <w:noProof/>
          </w:rPr>
          <w:fldChar w:fldCharType="end"/>
        </w:r>
        <w:r>
          <w:t xml:space="preserve"> | </w:t>
        </w:r>
        <w:r>
          <w:rPr>
            <w:color w:val="808080" w:themeColor="background1" w:themeShade="80"/>
            <w:spacing w:val="60"/>
          </w:rPr>
          <w:t>Page</w:t>
        </w:r>
      </w:p>
    </w:sdtContent>
  </w:sdt>
  <w:p w:rsidR="008A2F9F" w:rsidRDefault="008A2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F9F" w:rsidRDefault="008A2F9F" w:rsidP="00C66956">
      <w:pPr>
        <w:spacing w:after="0" w:line="240" w:lineRule="auto"/>
      </w:pPr>
      <w:r>
        <w:separator/>
      </w:r>
    </w:p>
  </w:footnote>
  <w:footnote w:type="continuationSeparator" w:id="0">
    <w:p w:rsidR="008A2F9F" w:rsidRDefault="008A2F9F" w:rsidP="00C66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140"/>
    <w:multiLevelType w:val="hybridMultilevel"/>
    <w:tmpl w:val="1310CE90"/>
    <w:lvl w:ilvl="0" w:tplc="EB0CE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42449"/>
    <w:multiLevelType w:val="hybridMultilevel"/>
    <w:tmpl w:val="6DC0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E1A73"/>
    <w:multiLevelType w:val="hybridMultilevel"/>
    <w:tmpl w:val="D304D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32EAE"/>
    <w:multiLevelType w:val="hybridMultilevel"/>
    <w:tmpl w:val="E8884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B0ADD"/>
    <w:multiLevelType w:val="hybridMultilevel"/>
    <w:tmpl w:val="B1B602CE"/>
    <w:lvl w:ilvl="0" w:tplc="94BC8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81D7D"/>
    <w:multiLevelType w:val="hybridMultilevel"/>
    <w:tmpl w:val="D80A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44B53"/>
    <w:multiLevelType w:val="hybridMultilevel"/>
    <w:tmpl w:val="C2329F9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3E197BC0"/>
    <w:multiLevelType w:val="hybridMultilevel"/>
    <w:tmpl w:val="9060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E57E0"/>
    <w:multiLevelType w:val="hybridMultilevel"/>
    <w:tmpl w:val="E0EEB0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420044B7"/>
    <w:multiLevelType w:val="hybridMultilevel"/>
    <w:tmpl w:val="5B7C1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A7E83"/>
    <w:multiLevelType w:val="hybridMultilevel"/>
    <w:tmpl w:val="537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64272"/>
    <w:multiLevelType w:val="hybridMultilevel"/>
    <w:tmpl w:val="A104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C4730B"/>
    <w:multiLevelType w:val="hybridMultilevel"/>
    <w:tmpl w:val="5870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E37DC"/>
    <w:multiLevelType w:val="hybridMultilevel"/>
    <w:tmpl w:val="60A6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CE7C25"/>
    <w:multiLevelType w:val="hybridMultilevel"/>
    <w:tmpl w:val="B3A44B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872F66"/>
    <w:multiLevelType w:val="hybridMultilevel"/>
    <w:tmpl w:val="B3DEC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361DE"/>
    <w:multiLevelType w:val="hybridMultilevel"/>
    <w:tmpl w:val="FC700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16"/>
  </w:num>
  <w:num w:numId="5">
    <w:abstractNumId w:val="10"/>
  </w:num>
  <w:num w:numId="6">
    <w:abstractNumId w:val="15"/>
  </w:num>
  <w:num w:numId="7">
    <w:abstractNumId w:val="9"/>
  </w:num>
  <w:num w:numId="8">
    <w:abstractNumId w:val="5"/>
  </w:num>
  <w:num w:numId="9">
    <w:abstractNumId w:val="7"/>
  </w:num>
  <w:num w:numId="10">
    <w:abstractNumId w:val="1"/>
  </w:num>
  <w:num w:numId="11">
    <w:abstractNumId w:val="11"/>
  </w:num>
  <w:num w:numId="12">
    <w:abstractNumId w:val="8"/>
  </w:num>
  <w:num w:numId="13">
    <w:abstractNumId w:val="6"/>
  </w:num>
  <w:num w:numId="14">
    <w:abstractNumId w:val="3"/>
  </w:num>
  <w:num w:numId="15">
    <w:abstractNumId w:val="1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FE"/>
    <w:rsid w:val="0006629F"/>
    <w:rsid w:val="000C61E7"/>
    <w:rsid w:val="00114097"/>
    <w:rsid w:val="00153B2C"/>
    <w:rsid w:val="001D5A78"/>
    <w:rsid w:val="001E1177"/>
    <w:rsid w:val="001F4CB1"/>
    <w:rsid w:val="00216C6E"/>
    <w:rsid w:val="00217FA2"/>
    <w:rsid w:val="00242159"/>
    <w:rsid w:val="002D1F2A"/>
    <w:rsid w:val="003373D6"/>
    <w:rsid w:val="003A5AFC"/>
    <w:rsid w:val="003D5BE9"/>
    <w:rsid w:val="00400E39"/>
    <w:rsid w:val="004229FE"/>
    <w:rsid w:val="00495122"/>
    <w:rsid w:val="004E1BAD"/>
    <w:rsid w:val="00506627"/>
    <w:rsid w:val="00513722"/>
    <w:rsid w:val="00585D7E"/>
    <w:rsid w:val="005C3A66"/>
    <w:rsid w:val="005E0D5E"/>
    <w:rsid w:val="006845D9"/>
    <w:rsid w:val="006F78A9"/>
    <w:rsid w:val="0081238E"/>
    <w:rsid w:val="00884DB1"/>
    <w:rsid w:val="008A2F9F"/>
    <w:rsid w:val="008C3743"/>
    <w:rsid w:val="008E69BF"/>
    <w:rsid w:val="008F76E9"/>
    <w:rsid w:val="009208CD"/>
    <w:rsid w:val="009D5973"/>
    <w:rsid w:val="009F21F9"/>
    <w:rsid w:val="00A35F4D"/>
    <w:rsid w:val="00A701E0"/>
    <w:rsid w:val="00AD1E3C"/>
    <w:rsid w:val="00B24E0F"/>
    <w:rsid w:val="00B8471F"/>
    <w:rsid w:val="00BD0CFD"/>
    <w:rsid w:val="00BD54C8"/>
    <w:rsid w:val="00C13C2F"/>
    <w:rsid w:val="00C14689"/>
    <w:rsid w:val="00C45910"/>
    <w:rsid w:val="00C53B10"/>
    <w:rsid w:val="00C66956"/>
    <w:rsid w:val="00C66F79"/>
    <w:rsid w:val="00C946AA"/>
    <w:rsid w:val="00CA3045"/>
    <w:rsid w:val="00CB54E1"/>
    <w:rsid w:val="00CC4C4F"/>
    <w:rsid w:val="00CF5C27"/>
    <w:rsid w:val="00DC0E76"/>
    <w:rsid w:val="00DE4953"/>
    <w:rsid w:val="00DF0212"/>
    <w:rsid w:val="00E12EED"/>
    <w:rsid w:val="00E37245"/>
    <w:rsid w:val="00E53472"/>
    <w:rsid w:val="00E55649"/>
    <w:rsid w:val="00E92A48"/>
    <w:rsid w:val="00EE2058"/>
    <w:rsid w:val="00F37E14"/>
    <w:rsid w:val="00F67B39"/>
    <w:rsid w:val="00F7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7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8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69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9FE"/>
    <w:pPr>
      <w:ind w:left="720"/>
      <w:contextualSpacing/>
    </w:pPr>
  </w:style>
  <w:style w:type="table" w:styleId="TableGrid">
    <w:name w:val="Table Grid"/>
    <w:basedOn w:val="TableNormal"/>
    <w:uiPriority w:val="59"/>
    <w:rsid w:val="00C6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78A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F78A9"/>
    <w:pPr>
      <w:outlineLvl w:val="9"/>
    </w:pPr>
    <w:rPr>
      <w:lang w:eastAsia="ja-JP"/>
    </w:rPr>
  </w:style>
  <w:style w:type="paragraph" w:styleId="BalloonText">
    <w:name w:val="Balloon Text"/>
    <w:basedOn w:val="Normal"/>
    <w:link w:val="BalloonTextChar"/>
    <w:uiPriority w:val="99"/>
    <w:semiHidden/>
    <w:unhideWhenUsed/>
    <w:rsid w:val="006F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8A9"/>
    <w:rPr>
      <w:rFonts w:ascii="Tahoma" w:hAnsi="Tahoma" w:cs="Tahoma"/>
      <w:sz w:val="16"/>
      <w:szCs w:val="16"/>
    </w:rPr>
  </w:style>
  <w:style w:type="paragraph" w:styleId="TOC1">
    <w:name w:val="toc 1"/>
    <w:basedOn w:val="Normal"/>
    <w:next w:val="Normal"/>
    <w:autoRedefine/>
    <w:uiPriority w:val="39"/>
    <w:unhideWhenUsed/>
    <w:rsid w:val="006F78A9"/>
    <w:pPr>
      <w:spacing w:after="100"/>
    </w:pPr>
  </w:style>
  <w:style w:type="character" w:styleId="Hyperlink">
    <w:name w:val="Hyperlink"/>
    <w:basedOn w:val="DefaultParagraphFont"/>
    <w:uiPriority w:val="99"/>
    <w:unhideWhenUsed/>
    <w:rsid w:val="006F78A9"/>
    <w:rPr>
      <w:color w:val="0000FF" w:themeColor="hyperlink"/>
      <w:u w:val="single"/>
    </w:rPr>
  </w:style>
  <w:style w:type="character" w:customStyle="1" w:styleId="Heading2Char">
    <w:name w:val="Heading 2 Char"/>
    <w:basedOn w:val="DefaultParagraphFont"/>
    <w:link w:val="Heading2"/>
    <w:uiPriority w:val="9"/>
    <w:rsid w:val="006F78A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F78A9"/>
    <w:pPr>
      <w:spacing w:after="100"/>
      <w:ind w:left="220"/>
    </w:pPr>
  </w:style>
  <w:style w:type="paragraph" w:styleId="Header">
    <w:name w:val="header"/>
    <w:basedOn w:val="Normal"/>
    <w:link w:val="HeaderChar"/>
    <w:unhideWhenUsed/>
    <w:rsid w:val="00C66956"/>
    <w:pPr>
      <w:tabs>
        <w:tab w:val="center" w:pos="4680"/>
        <w:tab w:val="right" w:pos="9360"/>
      </w:tabs>
      <w:spacing w:after="0" w:line="240" w:lineRule="auto"/>
    </w:pPr>
  </w:style>
  <w:style w:type="character" w:customStyle="1" w:styleId="HeaderChar">
    <w:name w:val="Header Char"/>
    <w:basedOn w:val="DefaultParagraphFont"/>
    <w:link w:val="Header"/>
    <w:rsid w:val="00C66956"/>
  </w:style>
  <w:style w:type="paragraph" w:customStyle="1" w:styleId="CompanyName">
    <w:name w:val="Company Name"/>
    <w:basedOn w:val="BodyText"/>
    <w:rsid w:val="00C66956"/>
    <w:pPr>
      <w:keepLines/>
      <w:framePr w:w="8640" w:h="1440" w:wrap="notBeside" w:vAnchor="page" w:hAnchor="margin" w:xAlign="center" w:y="889" w:anchorLock="1"/>
      <w:spacing w:after="80" w:line="240" w:lineRule="atLeast"/>
      <w:jc w:val="center"/>
    </w:pPr>
    <w:rPr>
      <w:rFonts w:ascii="Garamond" w:eastAsia="Times New Roman" w:hAnsi="Garamond" w:cs="Times New Roman"/>
      <w:caps/>
      <w:spacing w:val="75"/>
      <w:sz w:val="21"/>
      <w:szCs w:val="20"/>
    </w:rPr>
  </w:style>
  <w:style w:type="paragraph" w:styleId="BodyText">
    <w:name w:val="Body Text"/>
    <w:basedOn w:val="Normal"/>
    <w:link w:val="BodyTextChar"/>
    <w:uiPriority w:val="99"/>
    <w:semiHidden/>
    <w:unhideWhenUsed/>
    <w:rsid w:val="00C66956"/>
    <w:pPr>
      <w:spacing w:after="120"/>
    </w:pPr>
  </w:style>
  <w:style w:type="character" w:customStyle="1" w:styleId="BodyTextChar">
    <w:name w:val="Body Text Char"/>
    <w:basedOn w:val="DefaultParagraphFont"/>
    <w:link w:val="BodyText"/>
    <w:uiPriority w:val="99"/>
    <w:semiHidden/>
    <w:rsid w:val="00C66956"/>
  </w:style>
  <w:style w:type="character" w:customStyle="1" w:styleId="Heading3Char">
    <w:name w:val="Heading 3 Char"/>
    <w:basedOn w:val="DefaultParagraphFont"/>
    <w:link w:val="Heading3"/>
    <w:uiPriority w:val="9"/>
    <w:rsid w:val="00C66956"/>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C66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78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8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69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9FE"/>
    <w:pPr>
      <w:ind w:left="720"/>
      <w:contextualSpacing/>
    </w:pPr>
  </w:style>
  <w:style w:type="table" w:styleId="TableGrid">
    <w:name w:val="Table Grid"/>
    <w:basedOn w:val="TableNormal"/>
    <w:uiPriority w:val="59"/>
    <w:rsid w:val="00C6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78A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F78A9"/>
    <w:pPr>
      <w:outlineLvl w:val="9"/>
    </w:pPr>
    <w:rPr>
      <w:lang w:eastAsia="ja-JP"/>
    </w:rPr>
  </w:style>
  <w:style w:type="paragraph" w:styleId="BalloonText">
    <w:name w:val="Balloon Text"/>
    <w:basedOn w:val="Normal"/>
    <w:link w:val="BalloonTextChar"/>
    <w:uiPriority w:val="99"/>
    <w:semiHidden/>
    <w:unhideWhenUsed/>
    <w:rsid w:val="006F7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8A9"/>
    <w:rPr>
      <w:rFonts w:ascii="Tahoma" w:hAnsi="Tahoma" w:cs="Tahoma"/>
      <w:sz w:val="16"/>
      <w:szCs w:val="16"/>
    </w:rPr>
  </w:style>
  <w:style w:type="paragraph" w:styleId="TOC1">
    <w:name w:val="toc 1"/>
    <w:basedOn w:val="Normal"/>
    <w:next w:val="Normal"/>
    <w:autoRedefine/>
    <w:uiPriority w:val="39"/>
    <w:unhideWhenUsed/>
    <w:rsid w:val="006F78A9"/>
    <w:pPr>
      <w:spacing w:after="100"/>
    </w:pPr>
  </w:style>
  <w:style w:type="character" w:styleId="Hyperlink">
    <w:name w:val="Hyperlink"/>
    <w:basedOn w:val="DefaultParagraphFont"/>
    <w:uiPriority w:val="99"/>
    <w:unhideWhenUsed/>
    <w:rsid w:val="006F78A9"/>
    <w:rPr>
      <w:color w:val="0000FF" w:themeColor="hyperlink"/>
      <w:u w:val="single"/>
    </w:rPr>
  </w:style>
  <w:style w:type="character" w:customStyle="1" w:styleId="Heading2Char">
    <w:name w:val="Heading 2 Char"/>
    <w:basedOn w:val="DefaultParagraphFont"/>
    <w:link w:val="Heading2"/>
    <w:uiPriority w:val="9"/>
    <w:rsid w:val="006F78A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F78A9"/>
    <w:pPr>
      <w:spacing w:after="100"/>
      <w:ind w:left="220"/>
    </w:pPr>
  </w:style>
  <w:style w:type="paragraph" w:styleId="Header">
    <w:name w:val="header"/>
    <w:basedOn w:val="Normal"/>
    <w:link w:val="HeaderChar"/>
    <w:unhideWhenUsed/>
    <w:rsid w:val="00C66956"/>
    <w:pPr>
      <w:tabs>
        <w:tab w:val="center" w:pos="4680"/>
        <w:tab w:val="right" w:pos="9360"/>
      </w:tabs>
      <w:spacing w:after="0" w:line="240" w:lineRule="auto"/>
    </w:pPr>
  </w:style>
  <w:style w:type="character" w:customStyle="1" w:styleId="HeaderChar">
    <w:name w:val="Header Char"/>
    <w:basedOn w:val="DefaultParagraphFont"/>
    <w:link w:val="Header"/>
    <w:rsid w:val="00C66956"/>
  </w:style>
  <w:style w:type="paragraph" w:customStyle="1" w:styleId="CompanyName">
    <w:name w:val="Company Name"/>
    <w:basedOn w:val="BodyText"/>
    <w:rsid w:val="00C66956"/>
    <w:pPr>
      <w:keepLines/>
      <w:framePr w:w="8640" w:h="1440" w:wrap="notBeside" w:vAnchor="page" w:hAnchor="margin" w:xAlign="center" w:y="889" w:anchorLock="1"/>
      <w:spacing w:after="80" w:line="240" w:lineRule="atLeast"/>
      <w:jc w:val="center"/>
    </w:pPr>
    <w:rPr>
      <w:rFonts w:ascii="Garamond" w:eastAsia="Times New Roman" w:hAnsi="Garamond" w:cs="Times New Roman"/>
      <w:caps/>
      <w:spacing w:val="75"/>
      <w:sz w:val="21"/>
      <w:szCs w:val="20"/>
    </w:rPr>
  </w:style>
  <w:style w:type="paragraph" w:styleId="BodyText">
    <w:name w:val="Body Text"/>
    <w:basedOn w:val="Normal"/>
    <w:link w:val="BodyTextChar"/>
    <w:uiPriority w:val="99"/>
    <w:semiHidden/>
    <w:unhideWhenUsed/>
    <w:rsid w:val="00C66956"/>
    <w:pPr>
      <w:spacing w:after="120"/>
    </w:pPr>
  </w:style>
  <w:style w:type="character" w:customStyle="1" w:styleId="BodyTextChar">
    <w:name w:val="Body Text Char"/>
    <w:basedOn w:val="DefaultParagraphFont"/>
    <w:link w:val="BodyText"/>
    <w:uiPriority w:val="99"/>
    <w:semiHidden/>
    <w:rsid w:val="00C66956"/>
  </w:style>
  <w:style w:type="character" w:customStyle="1" w:styleId="Heading3Char">
    <w:name w:val="Heading 3 Char"/>
    <w:basedOn w:val="DefaultParagraphFont"/>
    <w:link w:val="Heading3"/>
    <w:uiPriority w:val="9"/>
    <w:rsid w:val="00C66956"/>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C66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2F8E-AB3C-4A7B-B697-0F61F285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15</Pages>
  <Words>4827</Words>
  <Characters>27515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Donahue</dc:creator>
  <cp:lastModifiedBy>Jennifer Donahue</cp:lastModifiedBy>
  <cp:revision>4</cp:revision>
  <cp:lastPrinted>2019-05-02T15:59:00Z</cp:lastPrinted>
  <dcterms:created xsi:type="dcterms:W3CDTF">2019-05-01T18:23:00Z</dcterms:created>
  <dcterms:modified xsi:type="dcterms:W3CDTF">2019-05-02T15:59:00Z</dcterms:modified>
</cp:coreProperties>
</file>